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9559" w14:textId="21267058" w:rsidR="00F92B55" w:rsidRDefault="00F92B55">
      <w:pPr>
        <w:spacing w:after="0" w:line="259" w:lineRule="auto"/>
        <w:ind w:left="-737" w:right="-728" w:firstLine="0"/>
        <w:jc w:val="left"/>
      </w:pPr>
    </w:p>
    <w:p w14:paraId="27CB2235" w14:textId="7429F76C" w:rsidR="00356B6E" w:rsidRDefault="00356B6E">
      <w:pPr>
        <w:spacing w:after="0" w:line="259" w:lineRule="auto"/>
        <w:ind w:left="-737" w:right="-728" w:firstLine="0"/>
        <w:jc w:val="left"/>
      </w:pPr>
    </w:p>
    <w:p w14:paraId="0905CD4B" w14:textId="3EA16ED1" w:rsidR="00356B6E" w:rsidRDefault="00356B6E">
      <w:pPr>
        <w:spacing w:after="0" w:line="259" w:lineRule="auto"/>
        <w:ind w:left="-737" w:right="-728" w:firstLine="0"/>
        <w:jc w:val="left"/>
      </w:pPr>
    </w:p>
    <w:p w14:paraId="52252715" w14:textId="765944B1" w:rsidR="00356B6E" w:rsidRDefault="00356B6E">
      <w:pPr>
        <w:spacing w:after="0" w:line="259" w:lineRule="auto"/>
        <w:ind w:left="-737" w:right="-728" w:firstLine="0"/>
        <w:jc w:val="left"/>
      </w:pPr>
    </w:p>
    <w:p w14:paraId="59AD2200" w14:textId="61FE42D3" w:rsidR="00356B6E" w:rsidRDefault="00356B6E">
      <w:pPr>
        <w:spacing w:after="0" w:line="259" w:lineRule="auto"/>
        <w:ind w:left="-737" w:right="-728" w:firstLine="0"/>
        <w:jc w:val="left"/>
      </w:pPr>
    </w:p>
    <w:p w14:paraId="725676E9" w14:textId="65FE9B87" w:rsidR="00356B6E" w:rsidRDefault="00356B6E">
      <w:pPr>
        <w:spacing w:after="0" w:line="259" w:lineRule="auto"/>
        <w:ind w:left="-737" w:right="-728" w:firstLine="0"/>
        <w:jc w:val="left"/>
      </w:pPr>
    </w:p>
    <w:p w14:paraId="3A77DF6E" w14:textId="23C343F9" w:rsidR="00356B6E" w:rsidRDefault="00356B6E">
      <w:pPr>
        <w:spacing w:after="0" w:line="259" w:lineRule="auto"/>
        <w:ind w:left="-737" w:right="-728" w:firstLine="0"/>
        <w:jc w:val="left"/>
      </w:pPr>
    </w:p>
    <w:p w14:paraId="1513661A" w14:textId="2440A13B" w:rsidR="00356B6E" w:rsidRDefault="00356B6E">
      <w:pPr>
        <w:spacing w:after="0" w:line="259" w:lineRule="auto"/>
        <w:ind w:left="-737" w:right="-728" w:firstLine="0"/>
        <w:jc w:val="left"/>
      </w:pPr>
    </w:p>
    <w:p w14:paraId="5E76073C" w14:textId="7100687A" w:rsidR="00356B6E" w:rsidRDefault="00356B6E">
      <w:pPr>
        <w:spacing w:after="0" w:line="259" w:lineRule="auto"/>
        <w:ind w:left="-737" w:right="-728" w:firstLine="0"/>
        <w:jc w:val="left"/>
      </w:pPr>
    </w:p>
    <w:p w14:paraId="37B50ECD" w14:textId="38059954" w:rsidR="00356B6E" w:rsidRDefault="00356B6E">
      <w:pPr>
        <w:spacing w:after="0" w:line="259" w:lineRule="auto"/>
        <w:ind w:left="-737" w:right="-728" w:firstLine="0"/>
        <w:jc w:val="left"/>
      </w:pPr>
    </w:p>
    <w:p w14:paraId="49D7F099" w14:textId="72017839" w:rsidR="00356B6E" w:rsidRDefault="00356B6E">
      <w:pPr>
        <w:spacing w:after="0" w:line="259" w:lineRule="auto"/>
        <w:ind w:left="-737" w:right="-728" w:firstLine="0"/>
        <w:jc w:val="left"/>
      </w:pPr>
    </w:p>
    <w:p w14:paraId="40195C9C" w14:textId="2802A637" w:rsidR="00356B6E" w:rsidRDefault="00356B6E">
      <w:pPr>
        <w:spacing w:after="0" w:line="259" w:lineRule="auto"/>
        <w:ind w:left="-737" w:right="-728" w:firstLine="0"/>
        <w:jc w:val="left"/>
      </w:pPr>
    </w:p>
    <w:p w14:paraId="08AF41C8" w14:textId="467B592B" w:rsidR="00356B6E" w:rsidRDefault="00356B6E">
      <w:pPr>
        <w:spacing w:after="0" w:line="259" w:lineRule="auto"/>
        <w:ind w:left="-737" w:right="-728" w:firstLine="0"/>
        <w:jc w:val="left"/>
      </w:pPr>
    </w:p>
    <w:p w14:paraId="0518935A" w14:textId="1AD9972C" w:rsidR="00356B6E" w:rsidRDefault="00356B6E">
      <w:pPr>
        <w:spacing w:after="0" w:line="259" w:lineRule="auto"/>
        <w:ind w:left="-737" w:right="-728" w:firstLine="0"/>
        <w:jc w:val="left"/>
      </w:pPr>
    </w:p>
    <w:p w14:paraId="288944A8" w14:textId="351BBA6C" w:rsidR="00356B6E" w:rsidRDefault="00356B6E">
      <w:pPr>
        <w:spacing w:after="0" w:line="259" w:lineRule="auto"/>
        <w:ind w:left="-737" w:right="-728" w:firstLine="0"/>
        <w:jc w:val="left"/>
      </w:pPr>
    </w:p>
    <w:p w14:paraId="03CB8F77" w14:textId="168D1824" w:rsidR="00356B6E" w:rsidRPr="00356B6E" w:rsidRDefault="00356B6E" w:rsidP="00356B6E">
      <w:pPr>
        <w:spacing w:after="0" w:line="259" w:lineRule="auto"/>
        <w:ind w:left="-737" w:right="-728" w:firstLine="0"/>
        <w:jc w:val="center"/>
        <w:rPr>
          <w:b/>
          <w:bCs/>
          <w:color w:val="0070C0"/>
          <w:sz w:val="80"/>
          <w:szCs w:val="80"/>
        </w:rPr>
      </w:pPr>
      <w:r w:rsidRPr="00356B6E">
        <w:rPr>
          <w:b/>
          <w:bCs/>
          <w:color w:val="0070C0"/>
          <w:sz w:val="80"/>
          <w:szCs w:val="80"/>
        </w:rPr>
        <w:t>North Ayrshire</w:t>
      </w:r>
    </w:p>
    <w:p w14:paraId="40FC9790" w14:textId="4888A05B" w:rsidR="00356B6E" w:rsidRPr="00356B6E" w:rsidRDefault="00356B6E" w:rsidP="00356B6E">
      <w:pPr>
        <w:spacing w:after="0" w:line="259" w:lineRule="auto"/>
        <w:ind w:left="-737" w:right="-728" w:firstLine="0"/>
        <w:jc w:val="center"/>
        <w:rPr>
          <w:b/>
          <w:bCs/>
          <w:color w:val="0070C0"/>
          <w:sz w:val="80"/>
          <w:szCs w:val="80"/>
        </w:rPr>
      </w:pPr>
      <w:r w:rsidRPr="00356B6E">
        <w:rPr>
          <w:b/>
          <w:bCs/>
          <w:color w:val="0070C0"/>
          <w:sz w:val="80"/>
          <w:szCs w:val="80"/>
        </w:rPr>
        <w:t>Domestic Abuse Policy</w:t>
      </w:r>
    </w:p>
    <w:p w14:paraId="08CE4703" w14:textId="67690366" w:rsidR="00356B6E" w:rsidRPr="00481BA3" w:rsidRDefault="00356B6E" w:rsidP="00356B6E">
      <w:pPr>
        <w:spacing w:after="0" w:line="259" w:lineRule="auto"/>
        <w:ind w:left="-737" w:right="-728" w:firstLine="0"/>
        <w:jc w:val="center"/>
        <w:rPr>
          <w:b/>
          <w:bCs/>
          <w:color w:val="0070C0"/>
          <w:sz w:val="70"/>
          <w:szCs w:val="70"/>
        </w:rPr>
      </w:pPr>
      <w:r w:rsidRPr="00481BA3">
        <w:rPr>
          <w:b/>
          <w:bCs/>
          <w:color w:val="0070C0"/>
          <w:sz w:val="70"/>
          <w:szCs w:val="70"/>
        </w:rPr>
        <w:t>All Tenures</w:t>
      </w:r>
    </w:p>
    <w:p w14:paraId="6FB938BD" w14:textId="3015D0E9" w:rsidR="00356B6E" w:rsidRDefault="00356B6E">
      <w:pPr>
        <w:spacing w:after="0" w:line="259" w:lineRule="auto"/>
        <w:ind w:left="-737" w:right="-728" w:firstLine="0"/>
        <w:jc w:val="left"/>
      </w:pPr>
    </w:p>
    <w:p w14:paraId="55702817" w14:textId="5FFC034E" w:rsidR="00356B6E" w:rsidRDefault="00356B6E">
      <w:pPr>
        <w:spacing w:after="0" w:line="259" w:lineRule="auto"/>
        <w:ind w:left="-737" w:right="-728" w:firstLine="0"/>
        <w:jc w:val="left"/>
      </w:pPr>
    </w:p>
    <w:p w14:paraId="1649AF0E" w14:textId="7C42CE54" w:rsidR="00356B6E" w:rsidRDefault="00356B6E">
      <w:pPr>
        <w:spacing w:after="0" w:line="259" w:lineRule="auto"/>
        <w:ind w:left="-737" w:right="-728" w:firstLine="0"/>
        <w:jc w:val="left"/>
      </w:pPr>
    </w:p>
    <w:p w14:paraId="18EC0815" w14:textId="568872B1" w:rsidR="00356B6E" w:rsidRDefault="00356B6E">
      <w:pPr>
        <w:spacing w:after="0" w:line="259" w:lineRule="auto"/>
        <w:ind w:left="-737" w:right="-728" w:firstLine="0"/>
        <w:jc w:val="left"/>
      </w:pPr>
    </w:p>
    <w:p w14:paraId="169ECAD6" w14:textId="0F397BC8" w:rsidR="00356B6E" w:rsidRDefault="00356B6E">
      <w:pPr>
        <w:spacing w:after="0" w:line="259" w:lineRule="auto"/>
        <w:ind w:left="-737" w:right="-728" w:firstLine="0"/>
        <w:jc w:val="left"/>
      </w:pPr>
    </w:p>
    <w:p w14:paraId="535701A9" w14:textId="1A7C3B81" w:rsidR="00356B6E" w:rsidRDefault="00356B6E">
      <w:pPr>
        <w:spacing w:after="0" w:line="259" w:lineRule="auto"/>
        <w:ind w:left="-737" w:right="-728" w:firstLine="0"/>
        <w:jc w:val="left"/>
      </w:pPr>
    </w:p>
    <w:p w14:paraId="0FB42EAF" w14:textId="480C08ED" w:rsidR="00356B6E" w:rsidRDefault="00356B6E">
      <w:pPr>
        <w:spacing w:after="0" w:line="259" w:lineRule="auto"/>
        <w:ind w:left="-737" w:right="-728" w:firstLine="0"/>
        <w:jc w:val="left"/>
      </w:pPr>
    </w:p>
    <w:p w14:paraId="6C561550" w14:textId="30E2F11D" w:rsidR="00356B6E" w:rsidRDefault="00356B6E">
      <w:pPr>
        <w:spacing w:after="0" w:line="259" w:lineRule="auto"/>
        <w:ind w:left="-737" w:right="-728" w:firstLine="0"/>
        <w:jc w:val="left"/>
      </w:pPr>
    </w:p>
    <w:p w14:paraId="70774C62" w14:textId="7E13A4CF" w:rsidR="00356B6E" w:rsidRDefault="00356B6E">
      <w:pPr>
        <w:spacing w:after="0" w:line="259" w:lineRule="auto"/>
        <w:ind w:left="-737" w:right="-728" w:firstLine="0"/>
        <w:jc w:val="left"/>
      </w:pPr>
    </w:p>
    <w:p w14:paraId="210FBCCB" w14:textId="4AF0D8DC" w:rsidR="00356B6E" w:rsidRDefault="00356B6E">
      <w:pPr>
        <w:spacing w:after="0" w:line="259" w:lineRule="auto"/>
        <w:ind w:left="-737" w:right="-728" w:firstLine="0"/>
        <w:jc w:val="left"/>
      </w:pPr>
    </w:p>
    <w:p w14:paraId="3C5723A4" w14:textId="2B03850D" w:rsidR="00356B6E" w:rsidRDefault="00356B6E">
      <w:pPr>
        <w:spacing w:after="0" w:line="259" w:lineRule="auto"/>
        <w:ind w:left="-737" w:right="-728" w:firstLine="0"/>
        <w:jc w:val="left"/>
      </w:pPr>
      <w:r>
        <w:rPr>
          <w:noProof/>
        </w:rPr>
        <w:drawing>
          <wp:anchor distT="0" distB="0" distL="114300" distR="114300" simplePos="0" relativeHeight="251659264" behindDoc="0" locked="0" layoutInCell="1" allowOverlap="1" wp14:anchorId="2E3AE3EA" wp14:editId="354C6297">
            <wp:simplePos x="0" y="0"/>
            <wp:positionH relativeFrom="column">
              <wp:posOffset>2981325</wp:posOffset>
            </wp:positionH>
            <wp:positionV relativeFrom="paragraph">
              <wp:posOffset>57785</wp:posOffset>
            </wp:positionV>
            <wp:extent cx="1857375" cy="1514475"/>
            <wp:effectExtent l="0" t="0" r="9525" b="9525"/>
            <wp:wrapNone/>
            <wp:docPr id="3" name="Picture 3"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57375" cy="1514475"/>
                    </a:xfrm>
                    <a:prstGeom prst="rect">
                      <a:avLst/>
                    </a:prstGeom>
                  </pic:spPr>
                </pic:pic>
              </a:graphicData>
            </a:graphic>
          </wp:anchor>
        </w:drawing>
      </w:r>
    </w:p>
    <w:p w14:paraId="565EC2FA" w14:textId="4BA4DDC5" w:rsidR="00356B6E" w:rsidRDefault="00356B6E">
      <w:pPr>
        <w:spacing w:after="0" w:line="259" w:lineRule="auto"/>
        <w:ind w:left="-737" w:right="-728" w:firstLine="0"/>
        <w:jc w:val="left"/>
      </w:pPr>
      <w:r>
        <w:rPr>
          <w:noProof/>
        </w:rPr>
        <w:drawing>
          <wp:anchor distT="0" distB="0" distL="114300" distR="114300" simplePos="0" relativeHeight="251662336" behindDoc="0" locked="0" layoutInCell="1" allowOverlap="1" wp14:anchorId="384A3972" wp14:editId="26F11A94">
            <wp:simplePos x="0" y="0"/>
            <wp:positionH relativeFrom="margin">
              <wp:posOffset>76200</wp:posOffset>
            </wp:positionH>
            <wp:positionV relativeFrom="paragraph">
              <wp:posOffset>11430</wp:posOffset>
            </wp:positionV>
            <wp:extent cx="2686050" cy="1323975"/>
            <wp:effectExtent l="0" t="0" r="0" b="952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86050" cy="1323975"/>
                    </a:xfrm>
                    <a:prstGeom prst="rect">
                      <a:avLst/>
                    </a:prstGeom>
                  </pic:spPr>
                </pic:pic>
              </a:graphicData>
            </a:graphic>
          </wp:anchor>
        </w:drawing>
      </w:r>
    </w:p>
    <w:p w14:paraId="77B409A6" w14:textId="0CDB964A" w:rsidR="00356B6E" w:rsidRDefault="00356B6E">
      <w:pPr>
        <w:spacing w:after="0" w:line="259" w:lineRule="auto"/>
        <w:ind w:left="-737" w:right="-728" w:firstLine="0"/>
        <w:jc w:val="left"/>
      </w:pPr>
    </w:p>
    <w:p w14:paraId="35EBF4EC" w14:textId="3C959E69" w:rsidR="00356B6E" w:rsidRDefault="00356B6E">
      <w:pPr>
        <w:spacing w:after="0" w:line="259" w:lineRule="auto"/>
        <w:ind w:left="-737" w:right="-728" w:firstLine="0"/>
        <w:jc w:val="left"/>
      </w:pPr>
    </w:p>
    <w:p w14:paraId="3734DF39" w14:textId="56B8A82D" w:rsidR="00356B6E" w:rsidRDefault="00356B6E">
      <w:pPr>
        <w:spacing w:after="0" w:line="259" w:lineRule="auto"/>
        <w:ind w:left="-737" w:right="-728" w:firstLine="0"/>
        <w:jc w:val="left"/>
      </w:pPr>
    </w:p>
    <w:p w14:paraId="6224492D" w14:textId="45D3CCFC" w:rsidR="00356B6E" w:rsidRDefault="00356B6E">
      <w:pPr>
        <w:spacing w:after="0" w:line="259" w:lineRule="auto"/>
        <w:ind w:left="-737" w:right="-728" w:firstLine="0"/>
        <w:jc w:val="left"/>
      </w:pPr>
    </w:p>
    <w:p w14:paraId="29837ED9" w14:textId="26B022FD" w:rsidR="00356B6E" w:rsidRDefault="00356B6E">
      <w:pPr>
        <w:spacing w:after="0" w:line="259" w:lineRule="auto"/>
        <w:ind w:left="-737" w:right="-728" w:firstLine="0"/>
        <w:jc w:val="left"/>
      </w:pPr>
    </w:p>
    <w:p w14:paraId="604AA0A9" w14:textId="4BCFDA22" w:rsidR="00356B6E" w:rsidRDefault="00356B6E">
      <w:pPr>
        <w:spacing w:after="0" w:line="259" w:lineRule="auto"/>
        <w:ind w:left="-737" w:right="-728" w:firstLine="0"/>
        <w:jc w:val="left"/>
      </w:pPr>
      <w:r>
        <w:rPr>
          <w:noProof/>
        </w:rPr>
        <w:drawing>
          <wp:anchor distT="0" distB="0" distL="114300" distR="114300" simplePos="0" relativeHeight="251658240" behindDoc="0" locked="0" layoutInCell="1" allowOverlap="1" wp14:anchorId="43C041F6" wp14:editId="181C4DF9">
            <wp:simplePos x="0" y="0"/>
            <wp:positionH relativeFrom="column">
              <wp:posOffset>-514350</wp:posOffset>
            </wp:positionH>
            <wp:positionV relativeFrom="paragraph">
              <wp:posOffset>191135</wp:posOffset>
            </wp:positionV>
            <wp:extent cx="1675075" cy="1219200"/>
            <wp:effectExtent l="0" t="0" r="190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5075" cy="1219200"/>
                    </a:xfrm>
                    <a:prstGeom prst="rect">
                      <a:avLst/>
                    </a:prstGeom>
                  </pic:spPr>
                </pic:pic>
              </a:graphicData>
            </a:graphic>
            <wp14:sizeRelH relativeFrom="margin">
              <wp14:pctWidth>0</wp14:pctWidth>
            </wp14:sizeRelH>
            <wp14:sizeRelV relativeFrom="margin">
              <wp14:pctHeight>0</wp14:pctHeight>
            </wp14:sizeRelV>
          </wp:anchor>
        </w:drawing>
      </w:r>
    </w:p>
    <w:p w14:paraId="38CF20A3" w14:textId="10B522CE" w:rsidR="00356B6E" w:rsidRDefault="00356B6E">
      <w:pPr>
        <w:spacing w:after="0" w:line="259" w:lineRule="auto"/>
        <w:ind w:left="-737" w:right="-728" w:firstLine="0"/>
        <w:jc w:val="left"/>
      </w:pPr>
      <w:r>
        <w:rPr>
          <w:noProof/>
        </w:rPr>
        <w:drawing>
          <wp:anchor distT="0" distB="0" distL="114300" distR="114300" simplePos="0" relativeHeight="251660288" behindDoc="0" locked="0" layoutInCell="1" allowOverlap="1" wp14:anchorId="0E473B0A" wp14:editId="188925D0">
            <wp:simplePos x="0" y="0"/>
            <wp:positionH relativeFrom="margin">
              <wp:posOffset>1292225</wp:posOffset>
            </wp:positionH>
            <wp:positionV relativeFrom="paragraph">
              <wp:posOffset>65405</wp:posOffset>
            </wp:positionV>
            <wp:extent cx="2922220" cy="122862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2220" cy="1228620"/>
                    </a:xfrm>
                    <a:prstGeom prst="rect">
                      <a:avLst/>
                    </a:prstGeom>
                  </pic:spPr>
                </pic:pic>
              </a:graphicData>
            </a:graphic>
            <wp14:sizeRelH relativeFrom="margin">
              <wp14:pctWidth>0</wp14:pctWidth>
            </wp14:sizeRelH>
            <wp14:sizeRelV relativeFrom="margin">
              <wp14:pctHeight>0</wp14:pctHeight>
            </wp14:sizeRelV>
          </wp:anchor>
        </w:drawing>
      </w:r>
    </w:p>
    <w:p w14:paraId="64D41C39" w14:textId="1004EC8A" w:rsidR="00356B6E" w:rsidRDefault="00481BA3">
      <w:pPr>
        <w:spacing w:after="0" w:line="259" w:lineRule="auto"/>
        <w:ind w:left="-737" w:right="-728" w:firstLine="0"/>
        <w:jc w:val="left"/>
      </w:pPr>
      <w:r>
        <w:rPr>
          <w:noProof/>
        </w:rPr>
        <w:drawing>
          <wp:anchor distT="0" distB="0" distL="114300" distR="114300" simplePos="0" relativeHeight="251661312" behindDoc="0" locked="0" layoutInCell="1" allowOverlap="1" wp14:anchorId="0BE92A4E" wp14:editId="43E73656">
            <wp:simplePos x="0" y="0"/>
            <wp:positionH relativeFrom="column">
              <wp:posOffset>4295140</wp:posOffset>
            </wp:positionH>
            <wp:positionV relativeFrom="paragraph">
              <wp:posOffset>34290</wp:posOffset>
            </wp:positionV>
            <wp:extent cx="1847829" cy="1040865"/>
            <wp:effectExtent l="0" t="0" r="635" b="698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7829" cy="1040865"/>
                    </a:xfrm>
                    <a:prstGeom prst="rect">
                      <a:avLst/>
                    </a:prstGeom>
                  </pic:spPr>
                </pic:pic>
              </a:graphicData>
            </a:graphic>
            <wp14:sizeRelH relativeFrom="margin">
              <wp14:pctWidth>0</wp14:pctWidth>
            </wp14:sizeRelH>
            <wp14:sizeRelV relativeFrom="margin">
              <wp14:pctHeight>0</wp14:pctHeight>
            </wp14:sizeRelV>
          </wp:anchor>
        </w:drawing>
      </w:r>
    </w:p>
    <w:p w14:paraId="480604BC" w14:textId="312155AF" w:rsidR="00356B6E" w:rsidRDefault="00356B6E">
      <w:pPr>
        <w:spacing w:after="0" w:line="259" w:lineRule="auto"/>
        <w:ind w:left="-737" w:right="-728" w:firstLine="0"/>
        <w:jc w:val="left"/>
      </w:pPr>
    </w:p>
    <w:p w14:paraId="0AD213A6" w14:textId="384870E4" w:rsidR="00356B6E" w:rsidRDefault="00356B6E">
      <w:pPr>
        <w:spacing w:after="0" w:line="259" w:lineRule="auto"/>
        <w:ind w:left="-737" w:right="-728" w:firstLine="0"/>
        <w:jc w:val="left"/>
      </w:pPr>
    </w:p>
    <w:p w14:paraId="4E1FAD66" w14:textId="304C0257" w:rsidR="00356B6E" w:rsidRDefault="00356B6E">
      <w:pPr>
        <w:spacing w:after="0" w:line="259" w:lineRule="auto"/>
        <w:ind w:left="-737" w:right="-728" w:firstLine="0"/>
        <w:jc w:val="left"/>
      </w:pPr>
    </w:p>
    <w:p w14:paraId="08E5F7D3" w14:textId="1E86B241" w:rsidR="00F92B55" w:rsidRDefault="00F92B55" w:rsidP="00356B6E">
      <w:pPr>
        <w:spacing w:after="0" w:line="259" w:lineRule="auto"/>
        <w:ind w:left="0" w:firstLine="0"/>
        <w:jc w:val="left"/>
      </w:pPr>
    </w:p>
    <w:p w14:paraId="3071286D" w14:textId="77777777" w:rsidR="00356B6E" w:rsidRDefault="00356B6E" w:rsidP="00356B6E">
      <w:pPr>
        <w:spacing w:after="0" w:line="259" w:lineRule="auto"/>
        <w:ind w:left="0" w:firstLine="0"/>
        <w:jc w:val="left"/>
      </w:pPr>
    </w:p>
    <w:p w14:paraId="2688DD47" w14:textId="77777777" w:rsidR="00481BA3" w:rsidRDefault="00481BA3" w:rsidP="00356B6E">
      <w:pPr>
        <w:spacing w:after="177" w:line="259" w:lineRule="auto"/>
        <w:ind w:left="0" w:firstLine="0"/>
        <w:jc w:val="left"/>
        <w:rPr>
          <w:rFonts w:eastAsia="Calibri"/>
          <w:b/>
          <w:bCs/>
          <w:color w:val="2F5496"/>
          <w:szCs w:val="24"/>
        </w:rPr>
      </w:pPr>
    </w:p>
    <w:p w14:paraId="0AF78E41" w14:textId="7CC18143" w:rsidR="00356B6E" w:rsidRPr="00356B6E" w:rsidRDefault="00356B6E" w:rsidP="00356B6E">
      <w:pPr>
        <w:spacing w:after="177" w:line="259" w:lineRule="auto"/>
        <w:ind w:left="0" w:firstLine="0"/>
        <w:jc w:val="left"/>
        <w:rPr>
          <w:b/>
          <w:bCs/>
          <w:sz w:val="28"/>
        </w:rPr>
      </w:pPr>
      <w:r w:rsidRPr="00356B6E">
        <w:rPr>
          <w:rFonts w:eastAsia="Calibri"/>
          <w:b/>
          <w:bCs/>
          <w:color w:val="2F5496"/>
          <w:szCs w:val="24"/>
        </w:rPr>
        <w:t>Table of Contents</w:t>
      </w:r>
    </w:p>
    <w:tbl>
      <w:tblPr>
        <w:tblStyle w:val="ListTable2-Accent5"/>
        <w:tblW w:w="0" w:type="auto"/>
        <w:tblLook w:val="04A0" w:firstRow="1" w:lastRow="0" w:firstColumn="1" w:lastColumn="0" w:noHBand="0" w:noVBand="1"/>
      </w:tblPr>
      <w:tblGrid>
        <w:gridCol w:w="1560"/>
        <w:gridCol w:w="6945"/>
        <w:gridCol w:w="516"/>
      </w:tblGrid>
      <w:tr w:rsidR="00356B6E" w:rsidRPr="00356B6E" w14:paraId="4A5BC3B6" w14:textId="77777777" w:rsidTr="0035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D603EFD" w14:textId="5A03BACF" w:rsidR="00356B6E" w:rsidRPr="00356B6E" w:rsidRDefault="00356B6E" w:rsidP="00356B6E">
            <w:pPr>
              <w:spacing w:before="60" w:afterLines="60" w:after="144" w:line="240" w:lineRule="auto"/>
              <w:ind w:left="0" w:firstLine="0"/>
              <w:jc w:val="left"/>
              <w:rPr>
                <w:b w:val="0"/>
                <w:szCs w:val="24"/>
              </w:rPr>
            </w:pPr>
            <w:r w:rsidRPr="00356B6E">
              <w:rPr>
                <w:b w:val="0"/>
                <w:szCs w:val="24"/>
              </w:rPr>
              <w:t>1</w:t>
            </w:r>
          </w:p>
        </w:tc>
        <w:tc>
          <w:tcPr>
            <w:tcW w:w="6945" w:type="dxa"/>
          </w:tcPr>
          <w:p w14:paraId="005D56B7" w14:textId="0C6893B8" w:rsidR="00356B6E" w:rsidRPr="00356B6E" w:rsidRDefault="00356B6E" w:rsidP="00356B6E">
            <w:pPr>
              <w:spacing w:before="60" w:afterLines="60" w:after="144" w:line="240" w:lineRule="auto"/>
              <w:ind w:left="0" w:firstLine="0"/>
              <w:jc w:val="left"/>
              <w:cnfStyle w:val="100000000000" w:firstRow="1" w:lastRow="0" w:firstColumn="0" w:lastColumn="0" w:oddVBand="0" w:evenVBand="0" w:oddHBand="0" w:evenHBand="0" w:firstRowFirstColumn="0" w:firstRowLastColumn="0" w:lastRowFirstColumn="0" w:lastRowLastColumn="0"/>
              <w:rPr>
                <w:b w:val="0"/>
                <w:szCs w:val="24"/>
              </w:rPr>
            </w:pPr>
            <w:r w:rsidRPr="00356B6E">
              <w:rPr>
                <w:b w:val="0"/>
                <w:szCs w:val="24"/>
              </w:rPr>
              <w:t>Introduction</w:t>
            </w:r>
          </w:p>
        </w:tc>
        <w:tc>
          <w:tcPr>
            <w:tcW w:w="516" w:type="dxa"/>
          </w:tcPr>
          <w:p w14:paraId="17D4660D" w14:textId="22F7B317" w:rsidR="00356B6E" w:rsidRPr="00356B6E" w:rsidRDefault="00356B6E" w:rsidP="00356B6E">
            <w:pPr>
              <w:spacing w:before="60" w:afterLines="60" w:after="144" w:line="240" w:lineRule="auto"/>
              <w:ind w:left="0" w:firstLine="0"/>
              <w:jc w:val="left"/>
              <w:cnfStyle w:val="100000000000" w:firstRow="1" w:lastRow="0" w:firstColumn="0" w:lastColumn="0" w:oddVBand="0" w:evenVBand="0" w:oddHBand="0" w:evenHBand="0" w:firstRowFirstColumn="0" w:firstRowLastColumn="0" w:lastRowFirstColumn="0" w:lastRowLastColumn="0"/>
              <w:rPr>
                <w:b w:val="0"/>
                <w:szCs w:val="24"/>
              </w:rPr>
            </w:pPr>
            <w:r w:rsidRPr="00356B6E">
              <w:rPr>
                <w:b w:val="0"/>
                <w:szCs w:val="24"/>
              </w:rPr>
              <w:t>2</w:t>
            </w:r>
          </w:p>
        </w:tc>
      </w:tr>
      <w:tr w:rsidR="00356B6E" w:rsidRPr="00356B6E" w14:paraId="729BC411" w14:textId="77777777" w:rsidTr="0035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D6FEDCC" w14:textId="139E4A81" w:rsidR="00356B6E" w:rsidRPr="00356B6E" w:rsidRDefault="00356B6E" w:rsidP="00356B6E">
            <w:pPr>
              <w:spacing w:before="60" w:afterLines="60" w:after="144" w:line="240" w:lineRule="auto"/>
              <w:ind w:left="0" w:firstLine="0"/>
              <w:jc w:val="left"/>
              <w:rPr>
                <w:b w:val="0"/>
                <w:szCs w:val="24"/>
              </w:rPr>
            </w:pPr>
            <w:r w:rsidRPr="00356B6E">
              <w:rPr>
                <w:b w:val="0"/>
                <w:szCs w:val="24"/>
              </w:rPr>
              <w:t>2</w:t>
            </w:r>
          </w:p>
        </w:tc>
        <w:tc>
          <w:tcPr>
            <w:tcW w:w="6945" w:type="dxa"/>
          </w:tcPr>
          <w:p w14:paraId="0A027E82" w14:textId="568BD447"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Aims of the Policy</w:t>
            </w:r>
          </w:p>
        </w:tc>
        <w:tc>
          <w:tcPr>
            <w:tcW w:w="516" w:type="dxa"/>
          </w:tcPr>
          <w:p w14:paraId="1CBBFB13" w14:textId="4D5B902B"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2</w:t>
            </w:r>
          </w:p>
        </w:tc>
      </w:tr>
      <w:tr w:rsidR="00356B6E" w:rsidRPr="00356B6E" w14:paraId="6BEABA9F" w14:textId="77777777" w:rsidTr="00356B6E">
        <w:tc>
          <w:tcPr>
            <w:cnfStyle w:val="001000000000" w:firstRow="0" w:lastRow="0" w:firstColumn="1" w:lastColumn="0" w:oddVBand="0" w:evenVBand="0" w:oddHBand="0" w:evenHBand="0" w:firstRowFirstColumn="0" w:firstRowLastColumn="0" w:lastRowFirstColumn="0" w:lastRowLastColumn="0"/>
            <w:tcW w:w="1560" w:type="dxa"/>
          </w:tcPr>
          <w:p w14:paraId="5CBDBAE8" w14:textId="4CB69C6F" w:rsidR="00356B6E" w:rsidRPr="00356B6E" w:rsidRDefault="00356B6E" w:rsidP="00356B6E">
            <w:pPr>
              <w:spacing w:before="60" w:afterLines="60" w:after="144" w:line="240" w:lineRule="auto"/>
              <w:ind w:left="0" w:firstLine="0"/>
              <w:jc w:val="left"/>
              <w:rPr>
                <w:b w:val="0"/>
                <w:szCs w:val="24"/>
              </w:rPr>
            </w:pPr>
            <w:r w:rsidRPr="00356B6E">
              <w:rPr>
                <w:b w:val="0"/>
                <w:szCs w:val="24"/>
              </w:rPr>
              <w:t>3</w:t>
            </w:r>
          </w:p>
        </w:tc>
        <w:tc>
          <w:tcPr>
            <w:tcW w:w="6945" w:type="dxa"/>
          </w:tcPr>
          <w:p w14:paraId="75B8447F" w14:textId="10FC9E3D" w:rsidR="00356B6E" w:rsidRPr="00356B6E" w:rsidRDefault="00356B6E" w:rsidP="00356B6E">
            <w:pPr>
              <w:spacing w:before="60" w:afterLines="60" w:after="144" w:line="240" w:lineRule="auto"/>
              <w:ind w:left="0" w:firstLine="0"/>
              <w:jc w:val="left"/>
              <w:cnfStyle w:val="000000000000" w:firstRow="0" w:lastRow="0" w:firstColumn="0" w:lastColumn="0" w:oddVBand="0" w:evenVBand="0" w:oddHBand="0" w:evenHBand="0" w:firstRowFirstColumn="0" w:firstRowLastColumn="0" w:lastRowFirstColumn="0" w:lastRowLastColumn="0"/>
              <w:rPr>
                <w:bCs/>
                <w:szCs w:val="24"/>
              </w:rPr>
            </w:pPr>
            <w:r w:rsidRPr="00356B6E">
              <w:rPr>
                <w:bCs/>
                <w:szCs w:val="24"/>
              </w:rPr>
              <w:t>Legislative Framework</w:t>
            </w:r>
          </w:p>
        </w:tc>
        <w:tc>
          <w:tcPr>
            <w:tcW w:w="516" w:type="dxa"/>
          </w:tcPr>
          <w:p w14:paraId="3928C3C2" w14:textId="464F4BDF" w:rsidR="00356B6E" w:rsidRPr="00356B6E" w:rsidRDefault="00356B6E" w:rsidP="00356B6E">
            <w:pPr>
              <w:spacing w:before="60" w:afterLines="60" w:after="144" w:line="240" w:lineRule="auto"/>
              <w:ind w:left="0" w:firstLine="0"/>
              <w:jc w:val="left"/>
              <w:cnfStyle w:val="000000000000" w:firstRow="0" w:lastRow="0" w:firstColumn="0" w:lastColumn="0" w:oddVBand="0" w:evenVBand="0" w:oddHBand="0" w:evenHBand="0" w:firstRowFirstColumn="0" w:firstRowLastColumn="0" w:lastRowFirstColumn="0" w:lastRowLastColumn="0"/>
              <w:rPr>
                <w:bCs/>
                <w:szCs w:val="24"/>
              </w:rPr>
            </w:pPr>
            <w:r w:rsidRPr="00356B6E">
              <w:rPr>
                <w:bCs/>
                <w:szCs w:val="24"/>
              </w:rPr>
              <w:t>3</w:t>
            </w:r>
          </w:p>
        </w:tc>
      </w:tr>
      <w:tr w:rsidR="00356B6E" w:rsidRPr="00356B6E" w14:paraId="35DE97CE" w14:textId="77777777" w:rsidTr="0035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7065B1A" w14:textId="235503ED" w:rsidR="00356B6E" w:rsidRPr="00356B6E" w:rsidRDefault="00356B6E" w:rsidP="00356B6E">
            <w:pPr>
              <w:spacing w:before="60" w:afterLines="60" w:after="144" w:line="240" w:lineRule="auto"/>
              <w:ind w:left="0" w:firstLine="0"/>
              <w:jc w:val="left"/>
              <w:rPr>
                <w:b w:val="0"/>
                <w:szCs w:val="24"/>
              </w:rPr>
            </w:pPr>
            <w:r w:rsidRPr="00356B6E">
              <w:rPr>
                <w:b w:val="0"/>
                <w:szCs w:val="24"/>
              </w:rPr>
              <w:t>4</w:t>
            </w:r>
          </w:p>
        </w:tc>
        <w:tc>
          <w:tcPr>
            <w:tcW w:w="6945" w:type="dxa"/>
          </w:tcPr>
          <w:p w14:paraId="39E1B94E" w14:textId="64E74AAF"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Prevention and Early Intervention</w:t>
            </w:r>
          </w:p>
        </w:tc>
        <w:tc>
          <w:tcPr>
            <w:tcW w:w="516" w:type="dxa"/>
          </w:tcPr>
          <w:p w14:paraId="238EBC68" w14:textId="182902FA"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4</w:t>
            </w:r>
          </w:p>
        </w:tc>
      </w:tr>
      <w:tr w:rsidR="00356B6E" w:rsidRPr="00356B6E" w14:paraId="03B65221" w14:textId="77777777" w:rsidTr="00356B6E">
        <w:tc>
          <w:tcPr>
            <w:cnfStyle w:val="001000000000" w:firstRow="0" w:lastRow="0" w:firstColumn="1" w:lastColumn="0" w:oddVBand="0" w:evenVBand="0" w:oddHBand="0" w:evenHBand="0" w:firstRowFirstColumn="0" w:firstRowLastColumn="0" w:lastRowFirstColumn="0" w:lastRowLastColumn="0"/>
            <w:tcW w:w="1560" w:type="dxa"/>
          </w:tcPr>
          <w:p w14:paraId="37729241" w14:textId="568055C4" w:rsidR="00356B6E" w:rsidRPr="00356B6E" w:rsidRDefault="00356B6E" w:rsidP="00356B6E">
            <w:pPr>
              <w:spacing w:before="60" w:afterLines="60" w:after="144" w:line="240" w:lineRule="auto"/>
              <w:ind w:left="0" w:firstLine="0"/>
              <w:jc w:val="left"/>
              <w:rPr>
                <w:b w:val="0"/>
                <w:szCs w:val="24"/>
              </w:rPr>
            </w:pPr>
            <w:r w:rsidRPr="00356B6E">
              <w:rPr>
                <w:b w:val="0"/>
                <w:szCs w:val="24"/>
              </w:rPr>
              <w:t>5</w:t>
            </w:r>
          </w:p>
        </w:tc>
        <w:tc>
          <w:tcPr>
            <w:tcW w:w="6945" w:type="dxa"/>
          </w:tcPr>
          <w:p w14:paraId="416187FA" w14:textId="50625CFE" w:rsidR="00356B6E" w:rsidRPr="00356B6E" w:rsidRDefault="00356B6E" w:rsidP="00356B6E">
            <w:pPr>
              <w:spacing w:before="60" w:afterLines="60" w:after="144" w:line="240" w:lineRule="auto"/>
              <w:ind w:left="0" w:firstLine="0"/>
              <w:jc w:val="left"/>
              <w:cnfStyle w:val="000000000000" w:firstRow="0" w:lastRow="0" w:firstColumn="0" w:lastColumn="0" w:oddVBand="0" w:evenVBand="0" w:oddHBand="0" w:evenHBand="0" w:firstRowFirstColumn="0" w:firstRowLastColumn="0" w:lastRowFirstColumn="0" w:lastRowLastColumn="0"/>
              <w:rPr>
                <w:bCs/>
                <w:szCs w:val="24"/>
              </w:rPr>
            </w:pPr>
            <w:r w:rsidRPr="00356B6E">
              <w:rPr>
                <w:bCs/>
                <w:szCs w:val="24"/>
              </w:rPr>
              <w:t>Community Planning Partners response to household</w:t>
            </w:r>
            <w:r>
              <w:rPr>
                <w:bCs/>
                <w:szCs w:val="24"/>
              </w:rPr>
              <w:t xml:space="preserve">s </w:t>
            </w:r>
            <w:r w:rsidRPr="00356B6E">
              <w:rPr>
                <w:bCs/>
                <w:szCs w:val="24"/>
              </w:rPr>
              <w:t xml:space="preserve">experiencing domestic abuse. </w:t>
            </w:r>
          </w:p>
        </w:tc>
        <w:tc>
          <w:tcPr>
            <w:tcW w:w="516" w:type="dxa"/>
          </w:tcPr>
          <w:p w14:paraId="55AA5CC8" w14:textId="475EF6EC" w:rsidR="00356B6E" w:rsidRPr="00356B6E" w:rsidRDefault="00356B6E" w:rsidP="00356B6E">
            <w:pPr>
              <w:spacing w:before="60" w:afterLines="60" w:after="144" w:line="240" w:lineRule="auto"/>
              <w:ind w:left="0" w:firstLine="0"/>
              <w:jc w:val="left"/>
              <w:cnfStyle w:val="000000000000" w:firstRow="0" w:lastRow="0" w:firstColumn="0" w:lastColumn="0" w:oddVBand="0" w:evenVBand="0" w:oddHBand="0" w:evenHBand="0" w:firstRowFirstColumn="0" w:firstRowLastColumn="0" w:lastRowFirstColumn="0" w:lastRowLastColumn="0"/>
              <w:rPr>
                <w:bCs/>
                <w:szCs w:val="24"/>
              </w:rPr>
            </w:pPr>
            <w:r w:rsidRPr="00356B6E">
              <w:rPr>
                <w:bCs/>
                <w:szCs w:val="24"/>
              </w:rPr>
              <w:t>5</w:t>
            </w:r>
          </w:p>
        </w:tc>
      </w:tr>
      <w:tr w:rsidR="00356B6E" w:rsidRPr="00356B6E" w14:paraId="3B3ED80F" w14:textId="77777777" w:rsidTr="0035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4797DEE" w14:textId="11631322" w:rsidR="00356B6E" w:rsidRPr="00356B6E" w:rsidRDefault="00356B6E" w:rsidP="00356B6E">
            <w:pPr>
              <w:spacing w:before="60" w:afterLines="60" w:after="144" w:line="240" w:lineRule="auto"/>
              <w:ind w:left="0" w:firstLine="0"/>
              <w:jc w:val="left"/>
              <w:rPr>
                <w:b w:val="0"/>
                <w:szCs w:val="24"/>
              </w:rPr>
            </w:pPr>
            <w:r w:rsidRPr="00356B6E">
              <w:rPr>
                <w:b w:val="0"/>
                <w:szCs w:val="24"/>
              </w:rPr>
              <w:t>6</w:t>
            </w:r>
          </w:p>
        </w:tc>
        <w:tc>
          <w:tcPr>
            <w:tcW w:w="6945" w:type="dxa"/>
          </w:tcPr>
          <w:p w14:paraId="43E0C0F1" w14:textId="6C2CA8B7"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Future Legislation</w:t>
            </w:r>
          </w:p>
        </w:tc>
        <w:tc>
          <w:tcPr>
            <w:tcW w:w="516" w:type="dxa"/>
          </w:tcPr>
          <w:p w14:paraId="2056C135" w14:textId="08515956"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6</w:t>
            </w:r>
          </w:p>
        </w:tc>
      </w:tr>
      <w:tr w:rsidR="00356B6E" w:rsidRPr="00356B6E" w14:paraId="12A04933" w14:textId="77777777" w:rsidTr="00356B6E">
        <w:tc>
          <w:tcPr>
            <w:cnfStyle w:val="001000000000" w:firstRow="0" w:lastRow="0" w:firstColumn="1" w:lastColumn="0" w:oddVBand="0" w:evenVBand="0" w:oddHBand="0" w:evenHBand="0" w:firstRowFirstColumn="0" w:firstRowLastColumn="0" w:lastRowFirstColumn="0" w:lastRowLastColumn="0"/>
            <w:tcW w:w="1560" w:type="dxa"/>
          </w:tcPr>
          <w:p w14:paraId="74F38E10" w14:textId="33DCFE9A" w:rsidR="00356B6E" w:rsidRPr="00356B6E" w:rsidRDefault="00356B6E" w:rsidP="00356B6E">
            <w:pPr>
              <w:spacing w:before="60" w:afterLines="60" w:after="144" w:line="240" w:lineRule="auto"/>
              <w:ind w:left="0" w:firstLine="0"/>
              <w:jc w:val="left"/>
              <w:rPr>
                <w:b w:val="0"/>
                <w:szCs w:val="24"/>
              </w:rPr>
            </w:pPr>
            <w:r w:rsidRPr="00356B6E">
              <w:rPr>
                <w:b w:val="0"/>
                <w:szCs w:val="24"/>
              </w:rPr>
              <w:t>7</w:t>
            </w:r>
          </w:p>
        </w:tc>
        <w:tc>
          <w:tcPr>
            <w:tcW w:w="6945" w:type="dxa"/>
          </w:tcPr>
          <w:p w14:paraId="3E9DFB1E" w14:textId="7A41B6DA" w:rsidR="00356B6E" w:rsidRPr="00356B6E" w:rsidRDefault="00356B6E" w:rsidP="00356B6E">
            <w:pPr>
              <w:spacing w:before="60" w:afterLines="60" w:after="144" w:line="240" w:lineRule="auto"/>
              <w:ind w:left="0" w:firstLine="0"/>
              <w:jc w:val="left"/>
              <w:cnfStyle w:val="000000000000" w:firstRow="0" w:lastRow="0" w:firstColumn="0" w:lastColumn="0" w:oddVBand="0" w:evenVBand="0" w:oddHBand="0" w:evenHBand="0" w:firstRowFirstColumn="0" w:firstRowLastColumn="0" w:lastRowFirstColumn="0" w:lastRowLastColumn="0"/>
              <w:rPr>
                <w:bCs/>
                <w:szCs w:val="24"/>
              </w:rPr>
            </w:pPr>
            <w:r w:rsidRPr="00356B6E">
              <w:rPr>
                <w:bCs/>
                <w:szCs w:val="24"/>
              </w:rPr>
              <w:t>Monitoring the Policy</w:t>
            </w:r>
          </w:p>
        </w:tc>
        <w:tc>
          <w:tcPr>
            <w:tcW w:w="516" w:type="dxa"/>
          </w:tcPr>
          <w:p w14:paraId="4DB778C0" w14:textId="4610B0D2" w:rsidR="00356B6E" w:rsidRPr="00356B6E" w:rsidRDefault="00356B6E" w:rsidP="00356B6E">
            <w:pPr>
              <w:spacing w:before="60" w:afterLines="60" w:after="144" w:line="240" w:lineRule="auto"/>
              <w:ind w:left="0" w:firstLine="0"/>
              <w:jc w:val="left"/>
              <w:cnfStyle w:val="000000000000" w:firstRow="0" w:lastRow="0" w:firstColumn="0" w:lastColumn="0" w:oddVBand="0" w:evenVBand="0" w:oddHBand="0" w:evenHBand="0" w:firstRowFirstColumn="0" w:firstRowLastColumn="0" w:lastRowFirstColumn="0" w:lastRowLastColumn="0"/>
              <w:rPr>
                <w:bCs/>
                <w:szCs w:val="24"/>
              </w:rPr>
            </w:pPr>
            <w:r w:rsidRPr="00356B6E">
              <w:rPr>
                <w:bCs/>
                <w:szCs w:val="24"/>
              </w:rPr>
              <w:t>6</w:t>
            </w:r>
          </w:p>
        </w:tc>
      </w:tr>
      <w:tr w:rsidR="00356B6E" w:rsidRPr="00356B6E" w14:paraId="478525B0" w14:textId="77777777" w:rsidTr="0035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A24EF23" w14:textId="71537A21" w:rsidR="00356B6E" w:rsidRPr="00356B6E" w:rsidRDefault="00356B6E" w:rsidP="00356B6E">
            <w:pPr>
              <w:spacing w:before="60" w:afterLines="60" w:after="144" w:line="240" w:lineRule="auto"/>
              <w:ind w:left="0" w:firstLine="0"/>
              <w:jc w:val="left"/>
              <w:rPr>
                <w:b w:val="0"/>
                <w:szCs w:val="24"/>
              </w:rPr>
            </w:pPr>
            <w:r w:rsidRPr="00356B6E">
              <w:rPr>
                <w:b w:val="0"/>
                <w:szCs w:val="24"/>
              </w:rPr>
              <w:t>Appendix 1</w:t>
            </w:r>
          </w:p>
        </w:tc>
        <w:tc>
          <w:tcPr>
            <w:tcW w:w="6945" w:type="dxa"/>
          </w:tcPr>
          <w:p w14:paraId="65F6E1BC" w14:textId="68965D3A" w:rsidR="00356B6E" w:rsidRPr="00356B6E" w:rsidRDefault="00356B6E" w:rsidP="00356B6E">
            <w:pPr>
              <w:spacing w:before="60" w:afterLines="60" w:after="144" w:line="240" w:lineRule="auto"/>
              <w:ind w:left="-5"/>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North Ayrshire Violence Against Women Partners</w:t>
            </w:r>
            <w:r w:rsidRPr="00356B6E">
              <w:rPr>
                <w:bCs/>
                <w:color w:val="7030A0"/>
                <w:szCs w:val="24"/>
              </w:rPr>
              <w:t xml:space="preserve"> </w:t>
            </w:r>
          </w:p>
        </w:tc>
        <w:tc>
          <w:tcPr>
            <w:tcW w:w="516" w:type="dxa"/>
          </w:tcPr>
          <w:p w14:paraId="4B3EE933" w14:textId="703E3B78" w:rsidR="00356B6E" w:rsidRPr="00356B6E" w:rsidRDefault="00356B6E" w:rsidP="00356B6E">
            <w:pPr>
              <w:spacing w:before="60" w:afterLines="60" w:after="144" w:line="240" w:lineRule="auto"/>
              <w:ind w:left="0" w:firstLine="0"/>
              <w:jc w:val="left"/>
              <w:cnfStyle w:val="000000100000" w:firstRow="0" w:lastRow="0" w:firstColumn="0" w:lastColumn="0" w:oddVBand="0" w:evenVBand="0" w:oddHBand="1" w:evenHBand="0" w:firstRowFirstColumn="0" w:firstRowLastColumn="0" w:lastRowFirstColumn="0" w:lastRowLastColumn="0"/>
              <w:rPr>
                <w:bCs/>
                <w:szCs w:val="24"/>
              </w:rPr>
            </w:pPr>
            <w:r w:rsidRPr="00356B6E">
              <w:rPr>
                <w:bCs/>
                <w:szCs w:val="24"/>
              </w:rPr>
              <w:t>7</w:t>
            </w:r>
          </w:p>
        </w:tc>
      </w:tr>
    </w:tbl>
    <w:p w14:paraId="1A73C08C" w14:textId="77777777" w:rsidR="00356B6E" w:rsidRDefault="00356B6E">
      <w:pPr>
        <w:spacing w:after="177" w:line="259" w:lineRule="auto"/>
        <w:ind w:left="-5"/>
        <w:jc w:val="left"/>
        <w:rPr>
          <w:b/>
          <w:sz w:val="28"/>
        </w:rPr>
      </w:pPr>
    </w:p>
    <w:p w14:paraId="6F8C6DC2" w14:textId="77777777" w:rsidR="00356B6E" w:rsidRDefault="00356B6E">
      <w:pPr>
        <w:spacing w:after="177" w:line="259" w:lineRule="auto"/>
        <w:ind w:left="-5"/>
        <w:jc w:val="left"/>
        <w:rPr>
          <w:b/>
          <w:sz w:val="28"/>
        </w:rPr>
      </w:pPr>
    </w:p>
    <w:p w14:paraId="491BAEE5" w14:textId="359E48A0" w:rsidR="00356B6E" w:rsidRDefault="00356B6E">
      <w:pPr>
        <w:spacing w:after="177" w:line="259" w:lineRule="auto"/>
        <w:ind w:left="-5"/>
        <w:jc w:val="left"/>
        <w:rPr>
          <w:b/>
          <w:sz w:val="28"/>
        </w:rPr>
      </w:pPr>
    </w:p>
    <w:p w14:paraId="1454FA05" w14:textId="1B0847C4" w:rsidR="00356B6E" w:rsidRDefault="00356B6E">
      <w:pPr>
        <w:spacing w:after="177" w:line="259" w:lineRule="auto"/>
        <w:ind w:left="-5"/>
        <w:jc w:val="left"/>
        <w:rPr>
          <w:b/>
          <w:sz w:val="28"/>
        </w:rPr>
      </w:pPr>
    </w:p>
    <w:p w14:paraId="27B5FBA7" w14:textId="0B83FA28" w:rsidR="00356B6E" w:rsidRDefault="00356B6E">
      <w:pPr>
        <w:spacing w:after="177" w:line="259" w:lineRule="auto"/>
        <w:ind w:left="-5"/>
        <w:jc w:val="left"/>
        <w:rPr>
          <w:b/>
          <w:sz w:val="28"/>
        </w:rPr>
      </w:pPr>
    </w:p>
    <w:p w14:paraId="612084C1" w14:textId="3791D11B" w:rsidR="00356B6E" w:rsidRDefault="00356B6E">
      <w:pPr>
        <w:spacing w:after="177" w:line="259" w:lineRule="auto"/>
        <w:ind w:left="-5"/>
        <w:jc w:val="left"/>
        <w:rPr>
          <w:b/>
          <w:sz w:val="28"/>
        </w:rPr>
      </w:pPr>
    </w:p>
    <w:p w14:paraId="700FCF59" w14:textId="299281AB" w:rsidR="00356B6E" w:rsidRDefault="00356B6E">
      <w:pPr>
        <w:spacing w:after="177" w:line="259" w:lineRule="auto"/>
        <w:ind w:left="-5"/>
        <w:jc w:val="left"/>
        <w:rPr>
          <w:b/>
          <w:sz w:val="28"/>
        </w:rPr>
      </w:pPr>
    </w:p>
    <w:p w14:paraId="74854C2B" w14:textId="38C7FFAA" w:rsidR="00356B6E" w:rsidRDefault="00356B6E">
      <w:pPr>
        <w:spacing w:after="177" w:line="259" w:lineRule="auto"/>
        <w:ind w:left="-5"/>
        <w:jc w:val="left"/>
        <w:rPr>
          <w:b/>
          <w:sz w:val="28"/>
        </w:rPr>
      </w:pPr>
    </w:p>
    <w:p w14:paraId="6BA7E1EA" w14:textId="2292C0F3" w:rsidR="00356B6E" w:rsidRDefault="00356B6E">
      <w:pPr>
        <w:spacing w:after="177" w:line="259" w:lineRule="auto"/>
        <w:ind w:left="-5"/>
        <w:jc w:val="left"/>
        <w:rPr>
          <w:b/>
          <w:sz w:val="28"/>
        </w:rPr>
      </w:pPr>
    </w:p>
    <w:p w14:paraId="7300F654" w14:textId="06F6DC5F" w:rsidR="00356B6E" w:rsidRDefault="00356B6E">
      <w:pPr>
        <w:spacing w:after="177" w:line="259" w:lineRule="auto"/>
        <w:ind w:left="-5"/>
        <w:jc w:val="left"/>
        <w:rPr>
          <w:b/>
          <w:sz w:val="28"/>
        </w:rPr>
      </w:pPr>
    </w:p>
    <w:p w14:paraId="4770D2B2" w14:textId="4E4FDA9E" w:rsidR="00356B6E" w:rsidRDefault="00356B6E">
      <w:pPr>
        <w:spacing w:after="177" w:line="259" w:lineRule="auto"/>
        <w:ind w:left="-5"/>
        <w:jc w:val="left"/>
        <w:rPr>
          <w:b/>
          <w:sz w:val="28"/>
        </w:rPr>
      </w:pPr>
    </w:p>
    <w:p w14:paraId="6882C513" w14:textId="7BCF5665" w:rsidR="00356B6E" w:rsidRDefault="00356B6E">
      <w:pPr>
        <w:spacing w:after="177" w:line="259" w:lineRule="auto"/>
        <w:ind w:left="-5"/>
        <w:jc w:val="left"/>
        <w:rPr>
          <w:b/>
          <w:sz w:val="28"/>
        </w:rPr>
      </w:pPr>
    </w:p>
    <w:p w14:paraId="5C32617E" w14:textId="77777777" w:rsidR="00356B6E" w:rsidRDefault="00356B6E">
      <w:pPr>
        <w:spacing w:after="177" w:line="259" w:lineRule="auto"/>
        <w:ind w:left="-5"/>
        <w:jc w:val="left"/>
        <w:rPr>
          <w:b/>
          <w:sz w:val="28"/>
        </w:rPr>
      </w:pPr>
    </w:p>
    <w:p w14:paraId="22D2CC72" w14:textId="77777777" w:rsidR="00356B6E" w:rsidRDefault="00356B6E">
      <w:pPr>
        <w:spacing w:after="177" w:line="259" w:lineRule="auto"/>
        <w:ind w:left="-5"/>
        <w:jc w:val="left"/>
        <w:rPr>
          <w:b/>
          <w:sz w:val="28"/>
        </w:rPr>
      </w:pPr>
    </w:p>
    <w:p w14:paraId="0CE00FBA" w14:textId="0028BC03" w:rsidR="00356B6E" w:rsidRDefault="00356B6E">
      <w:pPr>
        <w:spacing w:after="177" w:line="259" w:lineRule="auto"/>
        <w:ind w:left="-5"/>
        <w:jc w:val="left"/>
        <w:rPr>
          <w:b/>
          <w:sz w:val="28"/>
        </w:rPr>
      </w:pPr>
    </w:p>
    <w:p w14:paraId="35C16D79" w14:textId="77777777" w:rsidR="00356B6E" w:rsidRDefault="00356B6E">
      <w:pPr>
        <w:spacing w:after="177" w:line="259" w:lineRule="auto"/>
        <w:ind w:left="-5"/>
        <w:jc w:val="left"/>
        <w:rPr>
          <w:b/>
          <w:sz w:val="28"/>
        </w:rPr>
      </w:pPr>
    </w:p>
    <w:p w14:paraId="3896B545" w14:textId="77777777" w:rsidR="00356B6E" w:rsidRDefault="00356B6E">
      <w:pPr>
        <w:spacing w:after="177" w:line="259" w:lineRule="auto"/>
        <w:ind w:left="-5"/>
        <w:jc w:val="left"/>
        <w:rPr>
          <w:b/>
          <w:sz w:val="28"/>
        </w:rPr>
      </w:pPr>
    </w:p>
    <w:p w14:paraId="536BDFEC" w14:textId="77777777" w:rsidR="00356B6E" w:rsidRDefault="00356B6E" w:rsidP="00356B6E">
      <w:pPr>
        <w:spacing w:after="177" w:line="259" w:lineRule="auto"/>
        <w:ind w:left="0" w:firstLine="0"/>
        <w:jc w:val="left"/>
        <w:rPr>
          <w:b/>
          <w:sz w:val="28"/>
        </w:rPr>
      </w:pPr>
    </w:p>
    <w:p w14:paraId="796453AF" w14:textId="523E424D" w:rsidR="00356B6E" w:rsidRPr="00356B6E" w:rsidRDefault="00081F1C" w:rsidP="00356B6E">
      <w:pPr>
        <w:spacing w:after="177" w:line="259" w:lineRule="auto"/>
        <w:ind w:left="-5"/>
        <w:jc w:val="left"/>
        <w:rPr>
          <w:b/>
          <w:sz w:val="28"/>
        </w:rPr>
      </w:pPr>
      <w:r>
        <w:rPr>
          <w:b/>
          <w:sz w:val="28"/>
        </w:rPr>
        <w:lastRenderedPageBreak/>
        <w:t xml:space="preserve">North Ayrshire Domestic Abuse Policy – All Tenures </w:t>
      </w:r>
    </w:p>
    <w:p w14:paraId="4F9099FA" w14:textId="3F1A4FB2" w:rsidR="00F92B55" w:rsidRDefault="00081F1C" w:rsidP="00356B6E">
      <w:pPr>
        <w:pStyle w:val="Heading1"/>
        <w:numPr>
          <w:ilvl w:val="0"/>
          <w:numId w:val="6"/>
        </w:numPr>
      </w:pPr>
      <w:bookmarkStart w:id="0" w:name="_Toc98499853"/>
      <w:r>
        <w:t>Introduction</w:t>
      </w:r>
      <w:bookmarkEnd w:id="0"/>
      <w:r>
        <w:t xml:space="preserve"> </w:t>
      </w:r>
    </w:p>
    <w:p w14:paraId="57A3B9C3" w14:textId="77777777" w:rsidR="00356B6E" w:rsidRPr="00356B6E" w:rsidRDefault="00356B6E" w:rsidP="00356B6E"/>
    <w:p w14:paraId="796FDBEA" w14:textId="77777777" w:rsidR="00F92B55" w:rsidRDefault="00081F1C">
      <w:pPr>
        <w:spacing w:after="160"/>
      </w:pPr>
      <w:r>
        <w:t xml:space="preserve">Partners across North Ayrshire recognise the impact domestic abuse has on victims and their families. As social landlords, we regard domestic abuse as unacceptable behaviour which will not be tolerated. </w:t>
      </w:r>
    </w:p>
    <w:p w14:paraId="5354A6E1" w14:textId="77777777" w:rsidR="00F92B55" w:rsidRDefault="00081F1C">
      <w:pPr>
        <w:spacing w:after="160"/>
      </w:pPr>
      <w:r>
        <w:t xml:space="preserve">The North Ayrshire Domestic Abuse Policy – All Tenures (the Policy) is aligned to the Chartered Institute of Housing’s ‘Make a Stand campaign’. The Council and its partners have signed a pledge to demonstrate our commitment to this campaign to bring an end to domestic abuse in all its forms, ensuring our tenants and residents know their rights and understand how to access services.   </w:t>
      </w:r>
    </w:p>
    <w:p w14:paraId="2A53058B" w14:textId="4EB339B7" w:rsidR="00F92B55" w:rsidRDefault="00081F1C" w:rsidP="00356B6E">
      <w:pPr>
        <w:spacing w:after="157"/>
      </w:pPr>
      <w:r>
        <w:t>The policy was developed by an inter-agency group comprising of North Ayrshire Council Housing Services, Cunninghame Housing Association, Irvine Housing Association, North Ayrshire Council’s Tenant Participation Team and North Ayrshire Women’s Aid and sets out our commitment to anyone in North Ayrshire who is experiencing or are concerned about another individual affected by domestic abuse. The policy is for all North Ayrshire residents irrespective of tenure or gender and complements the individual domestic abuse policies of the partner organisations.</w:t>
      </w:r>
    </w:p>
    <w:p w14:paraId="4CB9FDDE" w14:textId="77777777" w:rsidR="00356B6E" w:rsidRDefault="00356B6E" w:rsidP="00356B6E">
      <w:pPr>
        <w:spacing w:after="157"/>
      </w:pPr>
    </w:p>
    <w:p w14:paraId="3491745E" w14:textId="002D59B1" w:rsidR="00F92B55" w:rsidRDefault="00081F1C" w:rsidP="00356B6E">
      <w:pPr>
        <w:pStyle w:val="Heading1"/>
        <w:ind w:left="-5"/>
      </w:pPr>
      <w:bookmarkStart w:id="1" w:name="_Toc98499854"/>
      <w:r>
        <w:t>2. Aims of the Policy</w:t>
      </w:r>
      <w:bookmarkEnd w:id="1"/>
      <w:r>
        <w:t xml:space="preserve">  </w:t>
      </w:r>
    </w:p>
    <w:p w14:paraId="66D69C7D" w14:textId="77777777" w:rsidR="00356B6E" w:rsidRPr="00356B6E" w:rsidRDefault="00356B6E" w:rsidP="00356B6E"/>
    <w:p w14:paraId="4B2A0573" w14:textId="77777777" w:rsidR="00F92B55" w:rsidRDefault="00081F1C">
      <w:pPr>
        <w:spacing w:after="157"/>
      </w:pPr>
      <w:r>
        <w:t xml:space="preserve">Domestic abuse in any form is unacceptable and will not be tolerated within our homes. As social landlords we are committed to protecting our tenants and residents, ensuring they are aware of the range of services available to them and how as a landlord we will assist.   </w:t>
      </w:r>
    </w:p>
    <w:p w14:paraId="261FFBAC" w14:textId="6C531CFE" w:rsidR="00F92B55" w:rsidRDefault="00081F1C" w:rsidP="00356B6E">
      <w:pPr>
        <w:spacing w:after="0"/>
      </w:pPr>
      <w:r>
        <w:t xml:space="preserve">Social housing providers and partner agencies will provide a proactive housing response to preventing and addressing domestic abuse by: </w:t>
      </w:r>
    </w:p>
    <w:p w14:paraId="4B8C3236" w14:textId="77777777" w:rsidR="00356B6E" w:rsidRDefault="00356B6E" w:rsidP="00356B6E">
      <w:pPr>
        <w:spacing w:after="0"/>
      </w:pPr>
    </w:p>
    <w:p w14:paraId="3406C8BB" w14:textId="77777777" w:rsidR="00F92B55" w:rsidRDefault="00081F1C" w:rsidP="00356B6E">
      <w:pPr>
        <w:numPr>
          <w:ilvl w:val="0"/>
          <w:numId w:val="1"/>
        </w:numPr>
        <w:spacing w:after="0"/>
        <w:ind w:hanging="360"/>
      </w:pPr>
      <w:r>
        <w:t xml:space="preserve">Ensuring everyone feels safe and is aware of the range of services available to them should they be at risk of domestic abuse </w:t>
      </w:r>
    </w:p>
    <w:p w14:paraId="034F8035" w14:textId="77777777" w:rsidR="00F92B55" w:rsidRDefault="00081F1C" w:rsidP="00356B6E">
      <w:pPr>
        <w:spacing w:after="0" w:line="259" w:lineRule="auto"/>
        <w:ind w:left="720" w:firstLine="0"/>
        <w:jc w:val="left"/>
      </w:pPr>
      <w:r>
        <w:t xml:space="preserve"> </w:t>
      </w:r>
    </w:p>
    <w:p w14:paraId="1BF635AA" w14:textId="77777777" w:rsidR="00F92B55" w:rsidRDefault="00081F1C" w:rsidP="00356B6E">
      <w:pPr>
        <w:numPr>
          <w:ilvl w:val="0"/>
          <w:numId w:val="1"/>
        </w:numPr>
        <w:spacing w:after="0"/>
        <w:ind w:hanging="360"/>
      </w:pPr>
      <w:r>
        <w:t xml:space="preserve">Being sensitive and supportive towards any household experiencing domestic abuse </w:t>
      </w:r>
    </w:p>
    <w:p w14:paraId="4F758E61" w14:textId="77777777" w:rsidR="00F92B55" w:rsidRDefault="00081F1C" w:rsidP="00356B6E">
      <w:pPr>
        <w:spacing w:after="0" w:line="259" w:lineRule="auto"/>
        <w:ind w:left="720" w:firstLine="0"/>
        <w:jc w:val="left"/>
      </w:pPr>
      <w:r>
        <w:t xml:space="preserve"> </w:t>
      </w:r>
    </w:p>
    <w:p w14:paraId="6BE404FD" w14:textId="77777777" w:rsidR="00F92B55" w:rsidRDefault="00081F1C" w:rsidP="00356B6E">
      <w:pPr>
        <w:numPr>
          <w:ilvl w:val="0"/>
          <w:numId w:val="1"/>
        </w:numPr>
        <w:spacing w:after="0"/>
        <w:ind w:hanging="360"/>
      </w:pPr>
      <w:r>
        <w:t xml:space="preserve">Working in partnership with other agencies to help victims/survivors of domestic abuse to access information, advice, and support in respect of their Housing Options and the choices available to them </w:t>
      </w:r>
    </w:p>
    <w:p w14:paraId="25A05160" w14:textId="77777777" w:rsidR="00F92B55" w:rsidRDefault="00081F1C" w:rsidP="00356B6E">
      <w:pPr>
        <w:spacing w:after="0" w:line="259" w:lineRule="auto"/>
        <w:ind w:left="720" w:firstLine="0"/>
        <w:jc w:val="left"/>
      </w:pPr>
      <w:r>
        <w:t xml:space="preserve"> </w:t>
      </w:r>
    </w:p>
    <w:p w14:paraId="125EA645" w14:textId="77777777" w:rsidR="00F92B55" w:rsidRDefault="00081F1C" w:rsidP="00356B6E">
      <w:pPr>
        <w:numPr>
          <w:ilvl w:val="0"/>
          <w:numId w:val="1"/>
        </w:numPr>
        <w:spacing w:after="0"/>
        <w:ind w:hanging="360"/>
      </w:pPr>
      <w:r>
        <w:t xml:space="preserve">Holding the perpetrators of domestic abuse to account </w:t>
      </w:r>
    </w:p>
    <w:p w14:paraId="541D691A" w14:textId="77777777" w:rsidR="00F92B55" w:rsidRDefault="00081F1C" w:rsidP="00356B6E">
      <w:pPr>
        <w:spacing w:after="0" w:line="259" w:lineRule="auto"/>
        <w:ind w:left="720" w:firstLine="0"/>
        <w:jc w:val="left"/>
      </w:pPr>
      <w:r>
        <w:t xml:space="preserve"> </w:t>
      </w:r>
    </w:p>
    <w:p w14:paraId="0755E197" w14:textId="77777777" w:rsidR="00F92B55" w:rsidRDefault="00081F1C" w:rsidP="00356B6E">
      <w:pPr>
        <w:numPr>
          <w:ilvl w:val="0"/>
          <w:numId w:val="1"/>
        </w:numPr>
        <w:spacing w:after="0"/>
        <w:ind w:hanging="360"/>
      </w:pPr>
      <w:r>
        <w:t xml:space="preserve">Promoting equality and diversity by minimising the risk of gender-based violence, whilst ensuring support is available to anyone who needs it </w:t>
      </w:r>
    </w:p>
    <w:p w14:paraId="04BC1ADA" w14:textId="77777777" w:rsidR="00F92B55" w:rsidRDefault="00081F1C" w:rsidP="00356B6E">
      <w:pPr>
        <w:spacing w:after="0" w:line="259" w:lineRule="auto"/>
        <w:ind w:left="720" w:firstLine="0"/>
        <w:jc w:val="left"/>
      </w:pPr>
      <w:r>
        <w:t xml:space="preserve"> </w:t>
      </w:r>
    </w:p>
    <w:p w14:paraId="32A371BA" w14:textId="04BF68FE" w:rsidR="00F92B55" w:rsidRDefault="00081F1C" w:rsidP="00356B6E">
      <w:pPr>
        <w:numPr>
          <w:ilvl w:val="0"/>
          <w:numId w:val="1"/>
        </w:numPr>
        <w:spacing w:after="0"/>
        <w:ind w:hanging="360"/>
      </w:pPr>
      <w:r>
        <w:t xml:space="preserve">Ensuring that the housing and wider response is appropriate to the needs of the individual and in line with best practice </w:t>
      </w:r>
    </w:p>
    <w:p w14:paraId="3FC27FF5" w14:textId="3CE51531" w:rsidR="00F92B55" w:rsidRDefault="00081F1C" w:rsidP="00356B6E">
      <w:pPr>
        <w:pStyle w:val="Heading1"/>
        <w:spacing w:after="239"/>
        <w:ind w:left="-5"/>
      </w:pPr>
      <w:bookmarkStart w:id="2" w:name="_Toc98499855"/>
      <w:r>
        <w:lastRenderedPageBreak/>
        <w:t>3. Legislative Framework</w:t>
      </w:r>
      <w:bookmarkEnd w:id="2"/>
      <w:r>
        <w:t xml:space="preserve"> </w:t>
      </w:r>
    </w:p>
    <w:p w14:paraId="23B39DD1" w14:textId="77777777" w:rsidR="00F92B55" w:rsidRDefault="00081F1C">
      <w:pPr>
        <w:spacing w:after="160"/>
      </w:pPr>
      <w:r>
        <w:t xml:space="preserve">The Domestic Abuse (Scotland) Act 2018 received Royal Assent on 9th March 2018. This legislation creates an offence with respect to abusive behaviour towards a partner or ex-partner.  </w:t>
      </w:r>
    </w:p>
    <w:p w14:paraId="3CBA1D2A" w14:textId="77777777" w:rsidR="00F92B55" w:rsidRDefault="00081F1C">
      <w:pPr>
        <w:spacing w:after="157"/>
      </w:pPr>
      <w:r>
        <w:t xml:space="preserve">In 2019, the Act introduced new Police Scotland enforcement powers in relation to psychological abuse and coercive control. All domestic abuse: whether psychological or physical, is now a criminal offence, allowing Police Scotland and the courts to prosecute offenders. </w:t>
      </w:r>
    </w:p>
    <w:p w14:paraId="4AFD9D9D" w14:textId="77777777" w:rsidR="00F92B55" w:rsidRDefault="00081F1C">
      <w:pPr>
        <w:spacing w:after="174"/>
      </w:pPr>
      <w:r>
        <w:t xml:space="preserve">The Scottish Government “Equally Safe” Strategy sets out the framework for the prevention and eradication of violence against women and girls, detailing national outcomes which local authorities and their community planning partners must work towards in order to achieve this, as detailed below: </w:t>
      </w:r>
    </w:p>
    <w:p w14:paraId="7E946334" w14:textId="77777777" w:rsidR="00F92B55" w:rsidRDefault="00081F1C">
      <w:pPr>
        <w:numPr>
          <w:ilvl w:val="0"/>
          <w:numId w:val="2"/>
        </w:numPr>
        <w:ind w:hanging="360"/>
      </w:pPr>
      <w:r>
        <w:t xml:space="preserve">We live our lives free from crime, disorder, and danger </w:t>
      </w:r>
    </w:p>
    <w:p w14:paraId="1DAEB38F" w14:textId="77777777" w:rsidR="00F92B55" w:rsidRDefault="00081F1C">
      <w:pPr>
        <w:spacing w:after="16" w:line="259" w:lineRule="auto"/>
        <w:ind w:left="720" w:firstLine="0"/>
        <w:jc w:val="left"/>
      </w:pPr>
      <w:r>
        <w:t xml:space="preserve"> </w:t>
      </w:r>
    </w:p>
    <w:p w14:paraId="522B3D8E" w14:textId="77777777" w:rsidR="00F92B55" w:rsidRDefault="00081F1C">
      <w:pPr>
        <w:numPr>
          <w:ilvl w:val="0"/>
          <w:numId w:val="2"/>
        </w:numPr>
        <w:ind w:hanging="360"/>
      </w:pPr>
      <w:r>
        <w:t xml:space="preserve">We have tackled the significant inequalities in Scottish society </w:t>
      </w:r>
    </w:p>
    <w:p w14:paraId="5FE54ACC" w14:textId="77777777" w:rsidR="00F92B55" w:rsidRDefault="00081F1C">
      <w:pPr>
        <w:spacing w:after="16" w:line="259" w:lineRule="auto"/>
        <w:ind w:left="720" w:firstLine="0"/>
        <w:jc w:val="left"/>
      </w:pPr>
      <w:r>
        <w:t xml:space="preserve"> </w:t>
      </w:r>
    </w:p>
    <w:p w14:paraId="7A73689F" w14:textId="77777777" w:rsidR="00F92B55" w:rsidRDefault="00081F1C">
      <w:pPr>
        <w:numPr>
          <w:ilvl w:val="0"/>
          <w:numId w:val="2"/>
        </w:numPr>
        <w:ind w:hanging="360"/>
      </w:pPr>
      <w:r>
        <w:t xml:space="preserve">We have strong resilient and supportive communities where people take responsibility for their own actions and how they affect others </w:t>
      </w:r>
    </w:p>
    <w:p w14:paraId="388186E9" w14:textId="77777777" w:rsidR="00F92B55" w:rsidRDefault="00081F1C">
      <w:pPr>
        <w:spacing w:after="16" w:line="259" w:lineRule="auto"/>
        <w:ind w:left="720" w:firstLine="0"/>
        <w:jc w:val="left"/>
      </w:pPr>
      <w:r>
        <w:t xml:space="preserve"> </w:t>
      </w:r>
    </w:p>
    <w:p w14:paraId="5C2168E4" w14:textId="77777777" w:rsidR="00F92B55" w:rsidRDefault="00081F1C">
      <w:pPr>
        <w:numPr>
          <w:ilvl w:val="0"/>
          <w:numId w:val="2"/>
        </w:numPr>
        <w:ind w:hanging="360"/>
      </w:pPr>
      <w:r>
        <w:t xml:space="preserve">Our children have the best start in life and are ready to succeed </w:t>
      </w:r>
    </w:p>
    <w:p w14:paraId="08C1E147" w14:textId="77777777" w:rsidR="00F92B55" w:rsidRDefault="00081F1C">
      <w:pPr>
        <w:spacing w:after="16" w:line="259" w:lineRule="auto"/>
        <w:ind w:left="720" w:firstLine="0"/>
        <w:jc w:val="left"/>
      </w:pPr>
      <w:r>
        <w:t xml:space="preserve"> </w:t>
      </w:r>
    </w:p>
    <w:p w14:paraId="10EC0A3B" w14:textId="77777777" w:rsidR="00F92B55" w:rsidRDefault="00081F1C">
      <w:pPr>
        <w:numPr>
          <w:ilvl w:val="0"/>
          <w:numId w:val="2"/>
        </w:numPr>
        <w:ind w:hanging="360"/>
      </w:pPr>
      <w:r>
        <w:t xml:space="preserve">We have improved the life chances for children, young people, and families at risk </w:t>
      </w:r>
    </w:p>
    <w:p w14:paraId="4A513E11" w14:textId="77777777" w:rsidR="00F92B55" w:rsidRDefault="00081F1C">
      <w:pPr>
        <w:spacing w:after="16" w:line="259" w:lineRule="auto"/>
        <w:ind w:left="360" w:firstLine="0"/>
        <w:jc w:val="left"/>
      </w:pPr>
      <w:r>
        <w:t xml:space="preserve"> </w:t>
      </w:r>
    </w:p>
    <w:p w14:paraId="29C6FAB4" w14:textId="77777777" w:rsidR="00F92B55" w:rsidRDefault="00081F1C">
      <w:pPr>
        <w:numPr>
          <w:ilvl w:val="0"/>
          <w:numId w:val="2"/>
        </w:numPr>
        <w:ind w:hanging="360"/>
      </w:pPr>
      <w:r>
        <w:t xml:space="preserve">Our public services are high quality, continually improving, efficient and responsive to people's needs </w:t>
      </w:r>
    </w:p>
    <w:p w14:paraId="518C8DC7" w14:textId="77777777" w:rsidR="00F92B55" w:rsidRDefault="00081F1C">
      <w:pPr>
        <w:spacing w:after="16" w:line="259" w:lineRule="auto"/>
        <w:ind w:left="720" w:firstLine="0"/>
        <w:jc w:val="left"/>
      </w:pPr>
      <w:r>
        <w:t xml:space="preserve"> </w:t>
      </w:r>
    </w:p>
    <w:p w14:paraId="1827E296" w14:textId="77777777" w:rsidR="00F92B55" w:rsidRDefault="00081F1C">
      <w:pPr>
        <w:numPr>
          <w:ilvl w:val="0"/>
          <w:numId w:val="2"/>
        </w:numPr>
        <w:ind w:hanging="360"/>
      </w:pPr>
      <w:r>
        <w:t xml:space="preserve">We realise our full economic potential with more and better employment opportunities for our people </w:t>
      </w:r>
    </w:p>
    <w:p w14:paraId="4D2C5F6C" w14:textId="77777777" w:rsidR="00F92B55" w:rsidRDefault="00081F1C">
      <w:pPr>
        <w:spacing w:after="17" w:line="259" w:lineRule="auto"/>
        <w:ind w:left="720" w:firstLine="0"/>
        <w:jc w:val="left"/>
      </w:pPr>
      <w:r>
        <w:t xml:space="preserve"> </w:t>
      </w:r>
    </w:p>
    <w:p w14:paraId="3A557E4A" w14:textId="77777777" w:rsidR="00F92B55" w:rsidRDefault="00081F1C">
      <w:pPr>
        <w:numPr>
          <w:ilvl w:val="0"/>
          <w:numId w:val="2"/>
        </w:numPr>
        <w:spacing w:after="115"/>
        <w:ind w:hanging="360"/>
      </w:pPr>
      <w:r>
        <w:t xml:space="preserve">We live longer healthier lives </w:t>
      </w:r>
    </w:p>
    <w:p w14:paraId="7CDA9E5E" w14:textId="77777777" w:rsidR="00F92B55" w:rsidRPr="00356B6E" w:rsidRDefault="00081F1C" w:rsidP="00356B6E">
      <w:pPr>
        <w:spacing w:after="0" w:line="240" w:lineRule="auto"/>
        <w:ind w:left="0" w:firstLine="0"/>
        <w:jc w:val="left"/>
        <w:rPr>
          <w:szCs w:val="24"/>
        </w:rPr>
      </w:pPr>
      <w:r w:rsidRPr="00356B6E">
        <w:rPr>
          <w:szCs w:val="24"/>
        </w:rPr>
        <w:t xml:space="preserve"> </w:t>
      </w:r>
    </w:p>
    <w:p w14:paraId="69FA72E8" w14:textId="77777777" w:rsidR="00F92B55" w:rsidRPr="00356B6E" w:rsidRDefault="00081F1C" w:rsidP="00356B6E">
      <w:pPr>
        <w:spacing w:after="0" w:line="240" w:lineRule="auto"/>
        <w:rPr>
          <w:szCs w:val="24"/>
        </w:rPr>
      </w:pPr>
      <w:r w:rsidRPr="00356B6E">
        <w:rPr>
          <w:szCs w:val="24"/>
        </w:rPr>
        <w:t xml:space="preserve">The National Equally Safe Strategy and Implementation Plan (which has been incorporated into the Safer North Ayrshire Strategy) can be found here. </w:t>
      </w:r>
      <w:hyperlink r:id="rId13">
        <w:r w:rsidRPr="00356B6E">
          <w:rPr>
            <w:rFonts w:eastAsia="Calibri"/>
            <w:color w:val="0070C0"/>
            <w:szCs w:val="24"/>
          </w:rPr>
          <w:t xml:space="preserve">Equally Safe: national strategy - gov.scot (www.gov.scot) </w:t>
        </w:r>
      </w:hyperlink>
    </w:p>
    <w:p w14:paraId="48172ABD" w14:textId="68C515AF" w:rsidR="00F92B55" w:rsidRDefault="00081F1C" w:rsidP="00356B6E">
      <w:pPr>
        <w:spacing w:after="0" w:line="240" w:lineRule="auto"/>
        <w:ind w:left="0" w:firstLine="0"/>
        <w:jc w:val="left"/>
        <w:rPr>
          <w:szCs w:val="24"/>
        </w:rPr>
      </w:pPr>
      <w:r w:rsidRPr="00356B6E">
        <w:rPr>
          <w:szCs w:val="24"/>
        </w:rPr>
        <w:t xml:space="preserve"> </w:t>
      </w:r>
    </w:p>
    <w:p w14:paraId="6BDDD30E" w14:textId="16C1947A" w:rsidR="00356B6E" w:rsidRDefault="00356B6E" w:rsidP="00356B6E">
      <w:pPr>
        <w:spacing w:after="0" w:line="240" w:lineRule="auto"/>
        <w:ind w:left="0" w:firstLine="0"/>
        <w:jc w:val="left"/>
        <w:rPr>
          <w:szCs w:val="24"/>
        </w:rPr>
      </w:pPr>
    </w:p>
    <w:p w14:paraId="71ED6B75" w14:textId="7B07679E" w:rsidR="00356B6E" w:rsidRDefault="00356B6E" w:rsidP="00356B6E">
      <w:pPr>
        <w:spacing w:after="0" w:line="240" w:lineRule="auto"/>
        <w:ind w:left="0" w:firstLine="0"/>
        <w:jc w:val="left"/>
        <w:rPr>
          <w:szCs w:val="24"/>
        </w:rPr>
      </w:pPr>
    </w:p>
    <w:p w14:paraId="661F1C7F" w14:textId="529516F7" w:rsidR="00CF7303" w:rsidRDefault="00CF7303" w:rsidP="00356B6E">
      <w:pPr>
        <w:spacing w:after="0" w:line="240" w:lineRule="auto"/>
        <w:ind w:left="0" w:firstLine="0"/>
        <w:jc w:val="left"/>
        <w:rPr>
          <w:szCs w:val="24"/>
        </w:rPr>
      </w:pPr>
    </w:p>
    <w:p w14:paraId="3C9EF1F9" w14:textId="38B5BB0B" w:rsidR="00CF7303" w:rsidRDefault="00CF7303" w:rsidP="00356B6E">
      <w:pPr>
        <w:spacing w:after="0" w:line="240" w:lineRule="auto"/>
        <w:ind w:left="0" w:firstLine="0"/>
        <w:jc w:val="left"/>
        <w:rPr>
          <w:szCs w:val="24"/>
        </w:rPr>
      </w:pPr>
    </w:p>
    <w:p w14:paraId="2ED569D1" w14:textId="4C494214" w:rsidR="00CF7303" w:rsidRDefault="00CF7303" w:rsidP="00356B6E">
      <w:pPr>
        <w:spacing w:after="0" w:line="240" w:lineRule="auto"/>
        <w:ind w:left="0" w:firstLine="0"/>
        <w:jc w:val="left"/>
        <w:rPr>
          <w:szCs w:val="24"/>
        </w:rPr>
      </w:pPr>
    </w:p>
    <w:p w14:paraId="3178DA39" w14:textId="04589833" w:rsidR="00CF7303" w:rsidRDefault="00CF7303" w:rsidP="00356B6E">
      <w:pPr>
        <w:spacing w:after="0" w:line="240" w:lineRule="auto"/>
        <w:ind w:left="0" w:firstLine="0"/>
        <w:jc w:val="left"/>
        <w:rPr>
          <w:szCs w:val="24"/>
        </w:rPr>
      </w:pPr>
    </w:p>
    <w:p w14:paraId="55D387AF" w14:textId="77777777" w:rsidR="00CF7303" w:rsidRDefault="00CF7303" w:rsidP="00356B6E">
      <w:pPr>
        <w:spacing w:after="0" w:line="240" w:lineRule="auto"/>
        <w:ind w:left="0" w:firstLine="0"/>
        <w:jc w:val="left"/>
        <w:rPr>
          <w:szCs w:val="24"/>
        </w:rPr>
      </w:pPr>
    </w:p>
    <w:p w14:paraId="50F6EEAE" w14:textId="77777777" w:rsidR="00356B6E" w:rsidRPr="00356B6E" w:rsidRDefault="00356B6E" w:rsidP="00356B6E">
      <w:pPr>
        <w:spacing w:after="0" w:line="240" w:lineRule="auto"/>
        <w:ind w:left="0" w:firstLine="0"/>
        <w:jc w:val="left"/>
        <w:rPr>
          <w:szCs w:val="24"/>
        </w:rPr>
      </w:pPr>
    </w:p>
    <w:p w14:paraId="1E1CE9B4" w14:textId="36DD46B5" w:rsidR="00F92B55" w:rsidRDefault="00081F1C" w:rsidP="00356B6E">
      <w:pPr>
        <w:pStyle w:val="Heading1"/>
        <w:spacing w:after="239"/>
        <w:ind w:left="-5"/>
      </w:pPr>
      <w:bookmarkStart w:id="3" w:name="_Toc98499856"/>
      <w:r>
        <w:lastRenderedPageBreak/>
        <w:t>4. Prevention and early intervention</w:t>
      </w:r>
      <w:bookmarkEnd w:id="3"/>
      <w:r>
        <w:t xml:space="preserve"> </w:t>
      </w:r>
    </w:p>
    <w:p w14:paraId="563E59E2" w14:textId="77777777" w:rsidR="00F92B55" w:rsidRDefault="00081F1C">
      <w:pPr>
        <w:spacing w:after="160"/>
      </w:pPr>
      <w:r>
        <w:t xml:space="preserve">A key objective of the policy is prevention and early intervention.  Our prevention focus has three key strands: </w:t>
      </w:r>
    </w:p>
    <w:p w14:paraId="310B157C" w14:textId="77777777" w:rsidR="00F92B55" w:rsidRDefault="00081F1C">
      <w:pPr>
        <w:numPr>
          <w:ilvl w:val="0"/>
          <w:numId w:val="3"/>
        </w:numPr>
        <w:spacing w:after="160"/>
        <w:ind w:hanging="281"/>
      </w:pPr>
      <w:r>
        <w:t xml:space="preserve">The first is to ensure that employees across the Community Planning Partnership recognise that gender-based violence in all its forms is not acceptable. </w:t>
      </w:r>
    </w:p>
    <w:p w14:paraId="1143FC7C" w14:textId="77777777" w:rsidR="00F92B55" w:rsidRDefault="00081F1C">
      <w:pPr>
        <w:numPr>
          <w:ilvl w:val="0"/>
          <w:numId w:val="3"/>
        </w:numPr>
        <w:spacing w:after="160"/>
        <w:ind w:hanging="281"/>
      </w:pPr>
      <w:r>
        <w:t xml:space="preserve">The second strand is focussed on awareness raising, ensuring that everyone knows that violence is unacceptable. We will ensure that everyone has access to a range of information, enabling them to challenge attitudes should they feel they need to. </w:t>
      </w:r>
    </w:p>
    <w:p w14:paraId="7839CAA1" w14:textId="77777777" w:rsidR="00F92B55" w:rsidRDefault="00081F1C">
      <w:pPr>
        <w:numPr>
          <w:ilvl w:val="0"/>
          <w:numId w:val="3"/>
        </w:numPr>
        <w:spacing w:after="160"/>
        <w:ind w:hanging="281"/>
      </w:pPr>
      <w:r>
        <w:t xml:space="preserve">Finally, prevention will be targeted at both the perpetrators and victims of domestic abuse, ensuring that they recognise that violence in any form is unacceptable and that they know how and where to access services should they require them. </w:t>
      </w:r>
    </w:p>
    <w:p w14:paraId="5C1F7B6C" w14:textId="77777777" w:rsidR="00F92B55" w:rsidRDefault="00081F1C">
      <w:pPr>
        <w:spacing w:after="160"/>
      </w:pPr>
      <w:r>
        <w:t xml:space="preserve">The Community Planning Partners are committed to working with a range of stakeholders to highlight the impact of domestic abuse and the role they must play in preventing it.  </w:t>
      </w:r>
    </w:p>
    <w:p w14:paraId="3ECEBEAB" w14:textId="77777777" w:rsidR="00F92B55" w:rsidRDefault="00081F1C">
      <w:pPr>
        <w:spacing w:after="160"/>
      </w:pPr>
      <w:r>
        <w:t xml:space="preserve">The prevention and early intervention strategy will focus on awareness raising, ensuring that everyone knows that violence in any form is not acceptable. We will actively promote gender equality and challenge attitudes of stereotyping and inequality by developing a media and messaging campaign which reaches every household in North Ayrshire. </w:t>
      </w:r>
    </w:p>
    <w:p w14:paraId="1C757732" w14:textId="77777777" w:rsidR="00F92B55" w:rsidRDefault="00081F1C">
      <w:pPr>
        <w:spacing w:after="160"/>
      </w:pPr>
      <w:r>
        <w:t xml:space="preserve">We will ensure that our employees across the Community Planning Partnership can identify the risks and signs of domestic abuse and that they know who to approach should they have concerns about anyone.  </w:t>
      </w:r>
    </w:p>
    <w:p w14:paraId="616A812B" w14:textId="77777777" w:rsidR="00F92B55" w:rsidRDefault="00081F1C">
      <w:pPr>
        <w:spacing w:after="177"/>
      </w:pPr>
      <w:r>
        <w:t xml:space="preserve">We will adopt a proactive, victim centred approach that promotes and strengthens the rights of those experiencing domestic abuse to remain in the home, should they choose to do so. We will promote this approach as follows: </w:t>
      </w:r>
    </w:p>
    <w:p w14:paraId="4DEA3DD0" w14:textId="77777777" w:rsidR="00F92B55" w:rsidRDefault="00081F1C">
      <w:pPr>
        <w:numPr>
          <w:ilvl w:val="0"/>
          <w:numId w:val="4"/>
        </w:numPr>
        <w:ind w:hanging="360"/>
      </w:pPr>
      <w:r>
        <w:t xml:space="preserve">We will deliver a rolling programme of training via the Violence Against Women Partnership domestic abuse training calendar across all Community Planning Partnership employees.  </w:t>
      </w:r>
    </w:p>
    <w:p w14:paraId="2E5243AF" w14:textId="77777777" w:rsidR="00F92B55" w:rsidRDefault="00081F1C">
      <w:pPr>
        <w:spacing w:after="16" w:line="259" w:lineRule="auto"/>
        <w:ind w:left="720" w:firstLine="0"/>
        <w:jc w:val="left"/>
      </w:pPr>
      <w:r>
        <w:t xml:space="preserve"> </w:t>
      </w:r>
    </w:p>
    <w:p w14:paraId="24FB525D" w14:textId="77777777" w:rsidR="00F92B55" w:rsidRDefault="00081F1C">
      <w:pPr>
        <w:numPr>
          <w:ilvl w:val="0"/>
          <w:numId w:val="4"/>
        </w:numPr>
        <w:ind w:hanging="360"/>
      </w:pPr>
      <w:r>
        <w:t xml:space="preserve">The Violence Against Women Partnership will support primary and secondary schools to deliver age-appropriate, evidence-based interventions to raise the awareness and understanding of gender-based violence to children and teachers. As part of a whole school approach to tackling domestic abuse we will promote positive, healthy relationships and consent. This initiative is widely and successfully embedded throughout North Ayrshire schools. </w:t>
      </w:r>
    </w:p>
    <w:p w14:paraId="58937FB1" w14:textId="77777777" w:rsidR="00F92B55" w:rsidRDefault="00081F1C">
      <w:pPr>
        <w:spacing w:after="16" w:line="259" w:lineRule="auto"/>
        <w:ind w:left="720" w:firstLine="0"/>
        <w:jc w:val="left"/>
      </w:pPr>
      <w:r>
        <w:t xml:space="preserve"> </w:t>
      </w:r>
    </w:p>
    <w:p w14:paraId="2D969533" w14:textId="77777777" w:rsidR="00F92B55" w:rsidRDefault="00081F1C">
      <w:pPr>
        <w:numPr>
          <w:ilvl w:val="0"/>
          <w:numId w:val="4"/>
        </w:numPr>
        <w:ind w:hanging="360"/>
      </w:pPr>
      <w:r>
        <w:t xml:space="preserve">We will review our Tenants Handbook regularly to ensure the inclusion of a range of information about domestic abuse and service access.  </w:t>
      </w:r>
    </w:p>
    <w:p w14:paraId="04E68E96" w14:textId="77777777" w:rsidR="00F92B55" w:rsidRDefault="00081F1C">
      <w:pPr>
        <w:spacing w:after="0" w:line="259" w:lineRule="auto"/>
        <w:ind w:left="720" w:firstLine="0"/>
        <w:jc w:val="left"/>
      </w:pPr>
      <w:r>
        <w:t xml:space="preserve"> </w:t>
      </w:r>
    </w:p>
    <w:p w14:paraId="1BF8C7CB" w14:textId="77777777" w:rsidR="00F92B55" w:rsidRDefault="00081F1C">
      <w:pPr>
        <w:numPr>
          <w:ilvl w:val="0"/>
          <w:numId w:val="4"/>
        </w:numPr>
        <w:ind w:hanging="360"/>
      </w:pPr>
      <w:r>
        <w:t xml:space="preserve">There will be ongoing promotion of gender equality awareness across a range of media platforms including information leaflets, newsletters and on the Council’s and partner agencies websites. </w:t>
      </w:r>
    </w:p>
    <w:p w14:paraId="32156C2C" w14:textId="77777777" w:rsidR="00F92B55" w:rsidRDefault="00081F1C">
      <w:pPr>
        <w:spacing w:after="16" w:line="259" w:lineRule="auto"/>
        <w:ind w:left="720" w:firstLine="0"/>
        <w:jc w:val="left"/>
      </w:pPr>
      <w:r>
        <w:t xml:space="preserve"> </w:t>
      </w:r>
    </w:p>
    <w:p w14:paraId="7AE39B03" w14:textId="77777777" w:rsidR="00F92B55" w:rsidRDefault="00081F1C">
      <w:pPr>
        <w:numPr>
          <w:ilvl w:val="0"/>
          <w:numId w:val="4"/>
        </w:numPr>
        <w:ind w:hanging="360"/>
      </w:pPr>
      <w:r>
        <w:lastRenderedPageBreak/>
        <w:t xml:space="preserve">We will clearly promote our commitment to eradicate domestic abuse by actively promoting details of the assistance that landlords will provide. </w:t>
      </w:r>
    </w:p>
    <w:p w14:paraId="08BEC9CA" w14:textId="77777777" w:rsidR="00F92B55" w:rsidRDefault="00081F1C">
      <w:pPr>
        <w:spacing w:after="16" w:line="259" w:lineRule="auto"/>
        <w:ind w:left="720" w:firstLine="0"/>
        <w:jc w:val="left"/>
      </w:pPr>
      <w:r>
        <w:t xml:space="preserve"> </w:t>
      </w:r>
    </w:p>
    <w:p w14:paraId="1A4FFC10" w14:textId="77777777" w:rsidR="00F92B55" w:rsidRDefault="00081F1C">
      <w:pPr>
        <w:numPr>
          <w:ilvl w:val="0"/>
          <w:numId w:val="4"/>
        </w:numPr>
        <w:ind w:hanging="360"/>
      </w:pPr>
      <w:r>
        <w:t xml:space="preserve">The Community Planning Partnership will adopt an ‘eyes and ears’ approach which requires staff at all levels to feel supported and confident when raising concerns surrounding domestic abuse. </w:t>
      </w:r>
    </w:p>
    <w:p w14:paraId="0985B5B4" w14:textId="77777777" w:rsidR="00F92B55" w:rsidRDefault="00081F1C">
      <w:pPr>
        <w:spacing w:after="16" w:line="259" w:lineRule="auto"/>
        <w:ind w:left="720" w:firstLine="0"/>
        <w:jc w:val="left"/>
      </w:pPr>
      <w:r>
        <w:t xml:space="preserve"> </w:t>
      </w:r>
    </w:p>
    <w:p w14:paraId="69985D3B" w14:textId="77777777" w:rsidR="00F92B55" w:rsidRDefault="00081F1C">
      <w:pPr>
        <w:numPr>
          <w:ilvl w:val="0"/>
          <w:numId w:val="4"/>
        </w:numPr>
        <w:ind w:hanging="360"/>
      </w:pPr>
      <w:r>
        <w:t xml:space="preserve">The Community Planning Partners will adopt a no wrong door approach for those households experiencing domestic abuse. </w:t>
      </w:r>
    </w:p>
    <w:p w14:paraId="153D8C09" w14:textId="77777777" w:rsidR="00F92B55" w:rsidRDefault="00081F1C">
      <w:pPr>
        <w:spacing w:after="16" w:line="259" w:lineRule="auto"/>
        <w:ind w:left="720" w:firstLine="0"/>
        <w:jc w:val="left"/>
      </w:pPr>
      <w:r>
        <w:t xml:space="preserve"> </w:t>
      </w:r>
    </w:p>
    <w:p w14:paraId="7531E273" w14:textId="77777777" w:rsidR="00F92B55" w:rsidRDefault="00081F1C">
      <w:pPr>
        <w:numPr>
          <w:ilvl w:val="0"/>
          <w:numId w:val="4"/>
        </w:numPr>
        <w:ind w:hanging="360"/>
      </w:pPr>
      <w:r>
        <w:t xml:space="preserve">We will expand our Safe Contact Programme across local offices and businesses to ensure households experiencing domestic abuse can speak out and access services. </w:t>
      </w:r>
    </w:p>
    <w:p w14:paraId="15C943ED" w14:textId="77777777" w:rsidR="00F92B55" w:rsidRDefault="00081F1C">
      <w:pPr>
        <w:spacing w:after="16" w:line="259" w:lineRule="auto"/>
        <w:ind w:left="720" w:firstLine="0"/>
        <w:jc w:val="left"/>
      </w:pPr>
      <w:r>
        <w:t xml:space="preserve"> </w:t>
      </w:r>
    </w:p>
    <w:p w14:paraId="653F8F2C" w14:textId="77777777" w:rsidR="00F92B55" w:rsidRDefault="00081F1C">
      <w:pPr>
        <w:numPr>
          <w:ilvl w:val="0"/>
          <w:numId w:val="4"/>
        </w:numPr>
        <w:ind w:hanging="360"/>
      </w:pPr>
      <w:r>
        <w:t xml:space="preserve">The North Ayrshire Violence Against Women Partnership (VAWP) is responsible for the delivery of the national VAW strategic framework as detailed within the Safer North Ayrshire Strategy.  On an annual basis the VAWP raises awareness through a range of activities delivered across North Ayrshire, culminating in our participation in the national 16 days of activism programme to end violence against women and girls. </w:t>
      </w:r>
    </w:p>
    <w:p w14:paraId="52646E0A" w14:textId="77777777" w:rsidR="00F92B55" w:rsidRDefault="00081F1C">
      <w:pPr>
        <w:spacing w:after="237" w:line="259" w:lineRule="auto"/>
        <w:ind w:left="720" w:firstLine="0"/>
        <w:jc w:val="left"/>
      </w:pPr>
      <w:r>
        <w:t xml:space="preserve"> </w:t>
      </w:r>
    </w:p>
    <w:p w14:paraId="71DE546A" w14:textId="77777777" w:rsidR="00F92B55" w:rsidRDefault="00081F1C">
      <w:pPr>
        <w:spacing w:after="1"/>
        <w:ind w:left="345" w:hanging="360"/>
        <w:jc w:val="left"/>
      </w:pPr>
      <w:r>
        <w:rPr>
          <w:b/>
        </w:rPr>
        <w:t xml:space="preserve">5. Community Planning Partners response to households experiencing </w:t>
      </w:r>
    </w:p>
    <w:p w14:paraId="747B94A9" w14:textId="6E2F637C" w:rsidR="00F92B55" w:rsidRDefault="00081F1C" w:rsidP="00356B6E">
      <w:pPr>
        <w:pStyle w:val="Heading2"/>
        <w:ind w:left="345" w:hanging="360"/>
      </w:pPr>
      <w:bookmarkStart w:id="4" w:name="_Toc98499857"/>
      <w:r>
        <w:t>domestic abuse.</w:t>
      </w:r>
      <w:bookmarkEnd w:id="4"/>
      <w:r>
        <w:t xml:space="preserve"> </w:t>
      </w:r>
    </w:p>
    <w:p w14:paraId="2B088043" w14:textId="77777777" w:rsidR="00356B6E" w:rsidRPr="00356B6E" w:rsidRDefault="00356B6E" w:rsidP="00356B6E">
      <w:pPr>
        <w:ind w:left="0"/>
      </w:pPr>
    </w:p>
    <w:p w14:paraId="4402FE6C" w14:textId="77777777" w:rsidR="00F92B55" w:rsidRDefault="00081F1C" w:rsidP="00356B6E">
      <w:pPr>
        <w:spacing w:after="177"/>
        <w:ind w:left="0"/>
      </w:pPr>
      <w:r>
        <w:t xml:space="preserve">This policy commits North Ayrshire social landlords to support people who are at risk of or experiencing domestic abuse. The needs of the victim will be at the centre of our approach to housing provision. We will: </w:t>
      </w:r>
    </w:p>
    <w:p w14:paraId="41E745C8" w14:textId="77777777" w:rsidR="00F92B55" w:rsidRDefault="00081F1C">
      <w:pPr>
        <w:numPr>
          <w:ilvl w:val="0"/>
          <w:numId w:val="5"/>
        </w:numPr>
        <w:ind w:hanging="360"/>
      </w:pPr>
      <w:r>
        <w:t xml:space="preserve">Maximise the flexibility of housing options available to those experiencing domestic abuse. </w:t>
      </w:r>
    </w:p>
    <w:p w14:paraId="606CED9C" w14:textId="77777777" w:rsidR="00F92B55" w:rsidRDefault="00081F1C">
      <w:pPr>
        <w:spacing w:after="16" w:line="259" w:lineRule="auto"/>
        <w:ind w:left="720" w:firstLine="0"/>
        <w:jc w:val="left"/>
      </w:pPr>
      <w:r>
        <w:t xml:space="preserve"> </w:t>
      </w:r>
    </w:p>
    <w:p w14:paraId="4DE45F59" w14:textId="77777777" w:rsidR="00F92B55" w:rsidRDefault="00081F1C">
      <w:pPr>
        <w:numPr>
          <w:ilvl w:val="0"/>
          <w:numId w:val="5"/>
        </w:numPr>
        <w:ind w:hanging="360"/>
      </w:pPr>
      <w:r>
        <w:t xml:space="preserve">Support those affected by domestic abuse to remain in their tenancy, if that is their choice; or if they prefer to move out of the tenancy, support them to do this.   </w:t>
      </w:r>
    </w:p>
    <w:p w14:paraId="4D2AC5D4" w14:textId="77777777" w:rsidR="00F92B55" w:rsidRDefault="00081F1C">
      <w:pPr>
        <w:numPr>
          <w:ilvl w:val="0"/>
          <w:numId w:val="5"/>
        </w:numPr>
        <w:ind w:hanging="360"/>
      </w:pPr>
      <w:r>
        <w:t xml:space="preserve">Assist victims of domestic abuse to access support from organisations such as Women’s Aid, the North Ayrshire Home Security Project and local counselling services. </w:t>
      </w:r>
    </w:p>
    <w:p w14:paraId="7CF43073" w14:textId="77777777" w:rsidR="00F92B55" w:rsidRDefault="00081F1C">
      <w:pPr>
        <w:spacing w:after="16" w:line="259" w:lineRule="auto"/>
        <w:ind w:left="720" w:firstLine="0"/>
        <w:jc w:val="left"/>
      </w:pPr>
      <w:r>
        <w:t xml:space="preserve"> </w:t>
      </w:r>
    </w:p>
    <w:p w14:paraId="3EF3B532" w14:textId="77777777" w:rsidR="00F92B55" w:rsidRDefault="00081F1C">
      <w:pPr>
        <w:numPr>
          <w:ilvl w:val="0"/>
          <w:numId w:val="5"/>
        </w:numPr>
        <w:ind w:hanging="360"/>
      </w:pPr>
      <w:r>
        <w:t xml:space="preserve">Support victims and survivors of domestic abuse to gain appropriate information and advice to ensure they understand their rights.  </w:t>
      </w:r>
    </w:p>
    <w:p w14:paraId="267B1E1A" w14:textId="77777777" w:rsidR="00F92B55" w:rsidRDefault="00081F1C">
      <w:pPr>
        <w:numPr>
          <w:ilvl w:val="0"/>
          <w:numId w:val="5"/>
        </w:numPr>
        <w:ind w:hanging="360"/>
      </w:pPr>
      <w:r>
        <w:t xml:space="preserve">Develop pathways for those who have experienced domestic abuse to improve their journey into a new home. </w:t>
      </w:r>
    </w:p>
    <w:p w14:paraId="5C3E843D" w14:textId="77777777" w:rsidR="00F92B55" w:rsidRDefault="00081F1C">
      <w:pPr>
        <w:spacing w:after="16" w:line="259" w:lineRule="auto"/>
        <w:ind w:left="720" w:firstLine="0"/>
        <w:jc w:val="left"/>
      </w:pPr>
      <w:r>
        <w:t xml:space="preserve"> </w:t>
      </w:r>
    </w:p>
    <w:p w14:paraId="65640C39" w14:textId="77777777" w:rsidR="00F92B55" w:rsidRDefault="00081F1C">
      <w:pPr>
        <w:numPr>
          <w:ilvl w:val="0"/>
          <w:numId w:val="5"/>
        </w:numPr>
        <w:spacing w:after="160"/>
        <w:ind w:hanging="360"/>
      </w:pPr>
      <w:r>
        <w:t xml:space="preserve">Use relevant and appropriate legislation to support the rehousing choices of the victims of domestic abuse. </w:t>
      </w:r>
    </w:p>
    <w:p w14:paraId="4A35CE68" w14:textId="77777777" w:rsidR="00F92B55" w:rsidRDefault="00081F1C">
      <w:pPr>
        <w:spacing w:after="237" w:line="259" w:lineRule="auto"/>
        <w:ind w:left="0" w:firstLine="0"/>
        <w:jc w:val="left"/>
      </w:pPr>
      <w:r>
        <w:t xml:space="preserve"> </w:t>
      </w:r>
    </w:p>
    <w:p w14:paraId="424A16D2" w14:textId="77777777" w:rsidR="00356B6E" w:rsidRDefault="00081F1C" w:rsidP="00356B6E">
      <w:pPr>
        <w:pStyle w:val="Heading1"/>
        <w:ind w:left="-5"/>
      </w:pPr>
      <w:bookmarkStart w:id="5" w:name="_Toc98499858"/>
      <w:r>
        <w:lastRenderedPageBreak/>
        <w:t>6. Future Legislation</w:t>
      </w:r>
      <w:bookmarkEnd w:id="5"/>
      <w:r>
        <w:t xml:space="preserve"> </w:t>
      </w:r>
    </w:p>
    <w:p w14:paraId="5E869C91" w14:textId="1A30195F" w:rsidR="00F92B55" w:rsidRDefault="00081F1C" w:rsidP="00356B6E">
      <w:pPr>
        <w:pStyle w:val="Heading1"/>
        <w:ind w:left="-5"/>
      </w:pPr>
      <w:r>
        <w:t xml:space="preserve"> </w:t>
      </w:r>
    </w:p>
    <w:p w14:paraId="6D3153D8" w14:textId="77777777" w:rsidR="00F92B55" w:rsidRDefault="00081F1C">
      <w:pPr>
        <w:spacing w:after="160"/>
      </w:pPr>
      <w:r>
        <w:t xml:space="preserve">The Domestic Abuse (Protection) (Scotland) Bill was introduced in Parliament on 2 October 2020.  The Bill was passed by Parliament on 18 March 2021; however, regulations still require to be developed prior to implementation.  </w:t>
      </w:r>
    </w:p>
    <w:p w14:paraId="186A7843" w14:textId="77777777" w:rsidR="00F92B55" w:rsidRDefault="00081F1C">
      <w:pPr>
        <w:spacing w:after="160"/>
      </w:pPr>
      <w:r>
        <w:t xml:space="preserve">The Bill provides Police Scotland and courts with powers to make emergency notices and orders to protect people at risk of domestic abuse. This will include the power to remove a suspected perpetrator from a home they share with a person at risk of domestic abuse and prohibit them from contacting or approaching them in the future. </w:t>
      </w:r>
    </w:p>
    <w:p w14:paraId="4794604E" w14:textId="77777777" w:rsidR="00F92B55" w:rsidRDefault="00081F1C">
      <w:r>
        <w:t xml:space="preserve">When the regulations for the Bill are finalised, this policy will be updated to reflect these new powers. </w:t>
      </w:r>
    </w:p>
    <w:p w14:paraId="223F727F" w14:textId="77777777" w:rsidR="00F92B55" w:rsidRDefault="00081F1C">
      <w:pPr>
        <w:spacing w:after="240" w:line="259" w:lineRule="auto"/>
        <w:ind w:left="0" w:firstLine="0"/>
        <w:jc w:val="left"/>
      </w:pPr>
      <w:r>
        <w:t xml:space="preserve"> </w:t>
      </w:r>
    </w:p>
    <w:p w14:paraId="771823A9" w14:textId="77777777" w:rsidR="00F92B55" w:rsidRDefault="00081F1C">
      <w:pPr>
        <w:pStyle w:val="Heading1"/>
        <w:spacing w:after="239"/>
        <w:ind w:left="-5"/>
      </w:pPr>
      <w:bookmarkStart w:id="6" w:name="_Toc98499859"/>
      <w:r>
        <w:t>7. Monitoring the policy</w:t>
      </w:r>
      <w:bookmarkEnd w:id="6"/>
      <w:r>
        <w:t xml:space="preserve"> </w:t>
      </w:r>
    </w:p>
    <w:p w14:paraId="741D0D11" w14:textId="77777777" w:rsidR="00F92B55" w:rsidRDefault="00081F1C">
      <w:pPr>
        <w:spacing w:after="239"/>
      </w:pPr>
      <w:r>
        <w:t xml:space="preserve">The implementation of the policy will be monitored by the VAWP, with outcomes reported to the Safer North Ayrshire Partnership on an annual basis. </w:t>
      </w:r>
    </w:p>
    <w:p w14:paraId="198B3CFD" w14:textId="77777777" w:rsidR="00F92B55" w:rsidRDefault="00081F1C">
      <w:pPr>
        <w:spacing w:after="239"/>
      </w:pPr>
      <w:r>
        <w:t xml:space="preserve">The policy will be reviewed annually by the VAWP. </w:t>
      </w:r>
    </w:p>
    <w:p w14:paraId="0DAF7A79" w14:textId="77777777" w:rsidR="00F92B55" w:rsidRDefault="00081F1C">
      <w:pPr>
        <w:spacing w:after="0" w:line="259" w:lineRule="auto"/>
        <w:ind w:left="0" w:firstLine="0"/>
        <w:jc w:val="left"/>
      </w:pPr>
      <w:r>
        <w:t xml:space="preserve"> </w:t>
      </w:r>
    </w:p>
    <w:p w14:paraId="1FFA2F27" w14:textId="77777777" w:rsidR="00F92B55" w:rsidRDefault="00081F1C">
      <w:pPr>
        <w:spacing w:after="160" w:line="259" w:lineRule="auto"/>
        <w:ind w:left="0" w:firstLine="0"/>
        <w:jc w:val="left"/>
      </w:pPr>
      <w:r>
        <w:t xml:space="preserve"> </w:t>
      </w:r>
    </w:p>
    <w:p w14:paraId="5BEFB1AD" w14:textId="77777777" w:rsidR="00F92B55" w:rsidRDefault="00081F1C">
      <w:pPr>
        <w:spacing w:after="160" w:line="259" w:lineRule="auto"/>
        <w:ind w:left="0" w:firstLine="0"/>
        <w:jc w:val="left"/>
      </w:pPr>
      <w:r>
        <w:t xml:space="preserve"> </w:t>
      </w:r>
    </w:p>
    <w:p w14:paraId="158010C4" w14:textId="77777777" w:rsidR="00F92B55" w:rsidRDefault="00081F1C">
      <w:pPr>
        <w:spacing w:after="160" w:line="259" w:lineRule="auto"/>
        <w:ind w:left="0" w:firstLine="0"/>
        <w:jc w:val="left"/>
      </w:pPr>
      <w:r>
        <w:t xml:space="preserve"> </w:t>
      </w:r>
    </w:p>
    <w:p w14:paraId="6D0FFDA7" w14:textId="77777777" w:rsidR="00F92B55" w:rsidRDefault="00081F1C">
      <w:pPr>
        <w:spacing w:after="158" w:line="259" w:lineRule="auto"/>
        <w:ind w:left="0" w:firstLine="0"/>
        <w:jc w:val="left"/>
      </w:pPr>
      <w:r>
        <w:t xml:space="preserve"> </w:t>
      </w:r>
    </w:p>
    <w:p w14:paraId="1982D054" w14:textId="77777777" w:rsidR="00F92B55" w:rsidRDefault="00081F1C">
      <w:pPr>
        <w:spacing w:after="160" w:line="259" w:lineRule="auto"/>
        <w:ind w:left="0" w:firstLine="0"/>
        <w:jc w:val="left"/>
      </w:pPr>
      <w:r>
        <w:t xml:space="preserve"> </w:t>
      </w:r>
    </w:p>
    <w:p w14:paraId="4A7EE647" w14:textId="77777777" w:rsidR="00F92B55" w:rsidRDefault="00081F1C">
      <w:pPr>
        <w:spacing w:after="160" w:line="259" w:lineRule="auto"/>
        <w:ind w:left="0" w:firstLine="0"/>
        <w:jc w:val="left"/>
      </w:pPr>
      <w:r>
        <w:t xml:space="preserve"> </w:t>
      </w:r>
    </w:p>
    <w:p w14:paraId="015521BD" w14:textId="315C13B2" w:rsidR="00F92B55" w:rsidRDefault="00081F1C">
      <w:pPr>
        <w:spacing w:after="160" w:line="259" w:lineRule="auto"/>
        <w:ind w:left="0" w:firstLine="0"/>
        <w:jc w:val="left"/>
      </w:pPr>
      <w:r>
        <w:t xml:space="preserve"> </w:t>
      </w:r>
    </w:p>
    <w:p w14:paraId="346C4F3C" w14:textId="3A2873C9" w:rsidR="00356B6E" w:rsidRDefault="00356B6E">
      <w:pPr>
        <w:spacing w:after="160" w:line="259" w:lineRule="auto"/>
        <w:ind w:left="0" w:firstLine="0"/>
        <w:jc w:val="left"/>
      </w:pPr>
    </w:p>
    <w:p w14:paraId="3CEEA855" w14:textId="2ABC9534" w:rsidR="00356B6E" w:rsidRDefault="00356B6E">
      <w:pPr>
        <w:spacing w:after="160" w:line="259" w:lineRule="auto"/>
        <w:ind w:left="0" w:firstLine="0"/>
        <w:jc w:val="left"/>
      </w:pPr>
    </w:p>
    <w:p w14:paraId="1FB4BAF1" w14:textId="73747B3A" w:rsidR="00356B6E" w:rsidRDefault="00356B6E">
      <w:pPr>
        <w:spacing w:after="160" w:line="259" w:lineRule="auto"/>
        <w:ind w:left="0" w:firstLine="0"/>
        <w:jc w:val="left"/>
      </w:pPr>
    </w:p>
    <w:p w14:paraId="56A84B71" w14:textId="77777777" w:rsidR="00356B6E" w:rsidRDefault="00356B6E">
      <w:pPr>
        <w:spacing w:after="160" w:line="259" w:lineRule="auto"/>
        <w:ind w:left="0" w:firstLine="0"/>
        <w:jc w:val="left"/>
      </w:pPr>
    </w:p>
    <w:p w14:paraId="39FC115F" w14:textId="2F5A50CE" w:rsidR="00F92B55" w:rsidRDefault="00081F1C">
      <w:pPr>
        <w:spacing w:after="158" w:line="259" w:lineRule="auto"/>
        <w:ind w:left="0" w:firstLine="0"/>
        <w:jc w:val="left"/>
      </w:pPr>
      <w:r>
        <w:t xml:space="preserve"> </w:t>
      </w:r>
    </w:p>
    <w:p w14:paraId="36DAB27F" w14:textId="7EFE8CCC" w:rsidR="00356B6E" w:rsidRDefault="00356B6E">
      <w:pPr>
        <w:spacing w:after="158" w:line="259" w:lineRule="auto"/>
        <w:ind w:left="0" w:firstLine="0"/>
        <w:jc w:val="left"/>
      </w:pPr>
    </w:p>
    <w:p w14:paraId="066C6613" w14:textId="0794930A" w:rsidR="00356B6E" w:rsidRDefault="00356B6E">
      <w:pPr>
        <w:spacing w:after="158" w:line="259" w:lineRule="auto"/>
        <w:ind w:left="0" w:firstLine="0"/>
        <w:jc w:val="left"/>
      </w:pPr>
    </w:p>
    <w:p w14:paraId="69D99995" w14:textId="5BE5D6BF" w:rsidR="00356B6E" w:rsidRDefault="00356B6E">
      <w:pPr>
        <w:spacing w:after="158" w:line="259" w:lineRule="auto"/>
        <w:ind w:left="0" w:firstLine="0"/>
        <w:jc w:val="left"/>
      </w:pPr>
    </w:p>
    <w:p w14:paraId="1B6C53A0" w14:textId="607C4B51" w:rsidR="00356B6E" w:rsidRDefault="00356B6E">
      <w:pPr>
        <w:spacing w:after="158" w:line="259" w:lineRule="auto"/>
        <w:ind w:left="0" w:firstLine="0"/>
        <w:jc w:val="left"/>
      </w:pPr>
    </w:p>
    <w:p w14:paraId="1B624974" w14:textId="24A8B79E" w:rsidR="00481BA3" w:rsidRDefault="00481BA3">
      <w:pPr>
        <w:spacing w:after="158" w:line="259" w:lineRule="auto"/>
        <w:ind w:left="0" w:firstLine="0"/>
        <w:jc w:val="left"/>
      </w:pPr>
    </w:p>
    <w:p w14:paraId="08C0F607" w14:textId="2F093664" w:rsidR="00F92B55" w:rsidRDefault="00F92B55">
      <w:pPr>
        <w:spacing w:after="0" w:line="259" w:lineRule="auto"/>
        <w:ind w:left="0" w:firstLine="0"/>
        <w:jc w:val="left"/>
      </w:pPr>
    </w:p>
    <w:p w14:paraId="6DAB14A6" w14:textId="77777777" w:rsidR="00F92B55" w:rsidRDefault="00081F1C">
      <w:pPr>
        <w:spacing w:after="239"/>
        <w:ind w:left="-5"/>
        <w:jc w:val="left"/>
      </w:pPr>
      <w:r>
        <w:rPr>
          <w:b/>
        </w:rPr>
        <w:lastRenderedPageBreak/>
        <w:t xml:space="preserve">Appendix 1 </w:t>
      </w:r>
    </w:p>
    <w:p w14:paraId="574427A7" w14:textId="77777777" w:rsidR="00F92B55" w:rsidRDefault="00081F1C">
      <w:pPr>
        <w:spacing w:after="0" w:line="259" w:lineRule="auto"/>
        <w:ind w:left="360" w:firstLine="0"/>
        <w:jc w:val="left"/>
      </w:pPr>
      <w:r>
        <w:rPr>
          <w:b/>
        </w:rPr>
        <w:t xml:space="preserve"> </w:t>
      </w:r>
    </w:p>
    <w:p w14:paraId="6CB21B8A" w14:textId="77777777" w:rsidR="00F92B55" w:rsidRDefault="00081F1C">
      <w:pPr>
        <w:spacing w:after="123"/>
        <w:ind w:left="-5"/>
        <w:jc w:val="left"/>
      </w:pPr>
      <w:r>
        <w:rPr>
          <w:b/>
        </w:rPr>
        <w:t>North Ayrshire Violence Against Women Partners</w:t>
      </w:r>
      <w:r>
        <w:rPr>
          <w:b/>
          <w:color w:val="7030A0"/>
        </w:rPr>
        <w:t xml:space="preserve"> </w:t>
      </w:r>
    </w:p>
    <w:tbl>
      <w:tblPr>
        <w:tblStyle w:val="TableGrid"/>
        <w:tblW w:w="8642" w:type="dxa"/>
        <w:tblInd w:w="5" w:type="dxa"/>
        <w:tblCellMar>
          <w:top w:w="56" w:type="dxa"/>
          <w:left w:w="108" w:type="dxa"/>
          <w:right w:w="115" w:type="dxa"/>
        </w:tblCellMar>
        <w:tblLook w:val="04A0" w:firstRow="1" w:lastRow="0" w:firstColumn="1" w:lastColumn="0" w:noHBand="0" w:noVBand="1"/>
      </w:tblPr>
      <w:tblGrid>
        <w:gridCol w:w="8642"/>
      </w:tblGrid>
      <w:tr w:rsidR="00F92B55" w14:paraId="6EF9148B"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07D7703A" w14:textId="77777777" w:rsidR="00F92B55" w:rsidRDefault="00081F1C">
            <w:pPr>
              <w:spacing w:after="0" w:line="259" w:lineRule="auto"/>
              <w:ind w:left="0" w:firstLine="0"/>
              <w:jc w:val="left"/>
            </w:pPr>
            <w:r>
              <w:rPr>
                <w:b/>
              </w:rPr>
              <w:t xml:space="preserve">Agency </w:t>
            </w:r>
          </w:p>
        </w:tc>
      </w:tr>
      <w:tr w:rsidR="00F92B55" w14:paraId="6C050AF1" w14:textId="77777777">
        <w:trPr>
          <w:trHeight w:val="288"/>
        </w:trPr>
        <w:tc>
          <w:tcPr>
            <w:tcW w:w="8642" w:type="dxa"/>
            <w:tcBorders>
              <w:top w:val="single" w:sz="4" w:space="0" w:color="000000"/>
              <w:left w:val="single" w:sz="4" w:space="0" w:color="000000"/>
              <w:bottom w:val="single" w:sz="4" w:space="0" w:color="000000"/>
              <w:right w:val="single" w:sz="4" w:space="0" w:color="000000"/>
            </w:tcBorders>
          </w:tcPr>
          <w:p w14:paraId="64961088" w14:textId="77777777" w:rsidR="00F92B55" w:rsidRDefault="00081F1C">
            <w:pPr>
              <w:spacing w:after="0" w:line="259" w:lineRule="auto"/>
              <w:ind w:left="0" w:firstLine="0"/>
              <w:jc w:val="left"/>
            </w:pPr>
            <w:r>
              <w:t xml:space="preserve">Council Cabinet Member for Green New Deal and Sustainability - Chair </w:t>
            </w:r>
          </w:p>
        </w:tc>
      </w:tr>
      <w:tr w:rsidR="00F92B55" w14:paraId="44FF3CED"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1881C214" w14:textId="77777777" w:rsidR="00F92B55" w:rsidRDefault="00081F1C">
            <w:pPr>
              <w:spacing w:after="0" w:line="259" w:lineRule="auto"/>
              <w:ind w:left="0" w:firstLine="0"/>
              <w:jc w:val="left"/>
            </w:pPr>
            <w:r>
              <w:t xml:space="preserve">VAWP Co-ordinator – Housing Services Community Safety </w:t>
            </w:r>
          </w:p>
        </w:tc>
      </w:tr>
      <w:tr w:rsidR="00F92B55" w14:paraId="09624C71"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0ED12AC4" w14:textId="77777777" w:rsidR="00F92B55" w:rsidRDefault="00081F1C">
            <w:pPr>
              <w:spacing w:after="0" w:line="259" w:lineRule="auto"/>
              <w:ind w:left="0" w:firstLine="0"/>
              <w:jc w:val="left"/>
            </w:pPr>
            <w:r>
              <w:t xml:space="preserve">NA Child Protection </w:t>
            </w:r>
          </w:p>
        </w:tc>
      </w:tr>
      <w:tr w:rsidR="00F92B55" w14:paraId="7E1DFF84"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1B1B371C" w14:textId="77777777" w:rsidR="00F92B55" w:rsidRDefault="00081F1C">
            <w:pPr>
              <w:spacing w:after="0" w:line="259" w:lineRule="auto"/>
              <w:ind w:left="0" w:firstLine="0"/>
              <w:jc w:val="left"/>
            </w:pPr>
            <w:r>
              <w:t xml:space="preserve">Barnardo’s </w:t>
            </w:r>
          </w:p>
        </w:tc>
      </w:tr>
      <w:tr w:rsidR="00F92B55" w14:paraId="3D50E850"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5FE05CB1" w14:textId="77777777" w:rsidR="00F92B55" w:rsidRDefault="00081F1C">
            <w:pPr>
              <w:spacing w:after="0" w:line="259" w:lineRule="auto"/>
              <w:ind w:left="0" w:firstLine="0"/>
              <w:jc w:val="left"/>
            </w:pPr>
            <w:r>
              <w:t xml:space="preserve">MAASH </w:t>
            </w:r>
          </w:p>
        </w:tc>
      </w:tr>
      <w:tr w:rsidR="00F92B55" w14:paraId="1B42F008"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63ED221F" w14:textId="77777777" w:rsidR="00F92B55" w:rsidRDefault="00081F1C">
            <w:pPr>
              <w:spacing w:after="0" w:line="259" w:lineRule="auto"/>
              <w:ind w:left="0" w:firstLine="0"/>
              <w:jc w:val="left"/>
            </w:pPr>
            <w:r>
              <w:t xml:space="preserve">Police Scotland DA Unit </w:t>
            </w:r>
          </w:p>
        </w:tc>
      </w:tr>
      <w:tr w:rsidR="00F92B55" w14:paraId="6429C6D4" w14:textId="77777777">
        <w:trPr>
          <w:trHeight w:val="288"/>
        </w:trPr>
        <w:tc>
          <w:tcPr>
            <w:tcW w:w="8642" w:type="dxa"/>
            <w:tcBorders>
              <w:top w:val="single" w:sz="4" w:space="0" w:color="000000"/>
              <w:left w:val="single" w:sz="4" w:space="0" w:color="000000"/>
              <w:bottom w:val="single" w:sz="4" w:space="0" w:color="000000"/>
              <w:right w:val="single" w:sz="4" w:space="0" w:color="000000"/>
            </w:tcBorders>
          </w:tcPr>
          <w:p w14:paraId="71FF248A" w14:textId="77777777" w:rsidR="00F92B55" w:rsidRDefault="00081F1C">
            <w:pPr>
              <w:spacing w:after="0" w:line="259" w:lineRule="auto"/>
              <w:ind w:left="0" w:firstLine="0"/>
              <w:jc w:val="left"/>
            </w:pPr>
            <w:r>
              <w:t xml:space="preserve">Fire and Rescue </w:t>
            </w:r>
          </w:p>
        </w:tc>
      </w:tr>
      <w:tr w:rsidR="00F92B55" w14:paraId="53C551B5"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31BDA73B" w14:textId="77777777" w:rsidR="00F92B55" w:rsidRDefault="00081F1C">
            <w:pPr>
              <w:spacing w:after="0" w:line="259" w:lineRule="auto"/>
              <w:ind w:left="0" w:firstLine="0"/>
              <w:jc w:val="left"/>
            </w:pPr>
            <w:r>
              <w:t xml:space="preserve">Police Scotland Liaison  </w:t>
            </w:r>
          </w:p>
        </w:tc>
      </w:tr>
      <w:tr w:rsidR="00F92B55" w14:paraId="4A5B5B40"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53DC6D56" w14:textId="77777777" w:rsidR="00F92B55" w:rsidRDefault="00081F1C">
            <w:pPr>
              <w:spacing w:after="0" w:line="259" w:lineRule="auto"/>
              <w:ind w:left="0" w:firstLine="0"/>
              <w:jc w:val="left"/>
            </w:pPr>
            <w:r>
              <w:t xml:space="preserve">NA Education </w:t>
            </w:r>
          </w:p>
        </w:tc>
      </w:tr>
      <w:tr w:rsidR="00F92B55" w14:paraId="01BE2ED2"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2DC88C61" w14:textId="77777777" w:rsidR="00F92B55" w:rsidRDefault="00081F1C">
            <w:pPr>
              <w:spacing w:after="0" w:line="259" w:lineRule="auto"/>
              <w:ind w:left="0" w:firstLine="0"/>
              <w:jc w:val="left"/>
            </w:pPr>
            <w:r>
              <w:t xml:space="preserve">NA Community Planning Partnership </w:t>
            </w:r>
          </w:p>
        </w:tc>
      </w:tr>
      <w:tr w:rsidR="00F92B55" w14:paraId="2302154F"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7816F000" w14:textId="77777777" w:rsidR="00F92B55" w:rsidRDefault="00081F1C">
            <w:pPr>
              <w:spacing w:after="0" w:line="259" w:lineRule="auto"/>
              <w:ind w:left="0" w:firstLine="0"/>
              <w:jc w:val="left"/>
            </w:pPr>
            <w:r>
              <w:t xml:space="preserve">NA ASP Learning &amp; Development  </w:t>
            </w:r>
          </w:p>
        </w:tc>
      </w:tr>
      <w:tr w:rsidR="00F92B55" w14:paraId="49A5A31F"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21F83212" w14:textId="77777777" w:rsidR="00F92B55" w:rsidRDefault="00081F1C">
            <w:pPr>
              <w:spacing w:after="0" w:line="259" w:lineRule="auto"/>
              <w:ind w:left="0" w:firstLine="0"/>
              <w:jc w:val="left"/>
            </w:pPr>
            <w:r>
              <w:t xml:space="preserve">Break the Silence </w:t>
            </w:r>
          </w:p>
        </w:tc>
      </w:tr>
      <w:tr w:rsidR="00F92B55" w14:paraId="43450E22" w14:textId="77777777">
        <w:trPr>
          <w:trHeight w:val="288"/>
        </w:trPr>
        <w:tc>
          <w:tcPr>
            <w:tcW w:w="8642" w:type="dxa"/>
            <w:tcBorders>
              <w:top w:val="single" w:sz="4" w:space="0" w:color="000000"/>
              <w:left w:val="single" w:sz="4" w:space="0" w:color="000000"/>
              <w:bottom w:val="single" w:sz="4" w:space="0" w:color="000000"/>
              <w:right w:val="single" w:sz="4" w:space="0" w:color="000000"/>
            </w:tcBorders>
          </w:tcPr>
          <w:p w14:paraId="726FBA25" w14:textId="77777777" w:rsidR="00F92B55" w:rsidRDefault="00081F1C">
            <w:pPr>
              <w:spacing w:after="0" w:line="259" w:lineRule="auto"/>
              <w:ind w:left="0" w:firstLine="0"/>
              <w:jc w:val="left"/>
            </w:pPr>
            <w:r>
              <w:t xml:space="preserve">Justice Services </w:t>
            </w:r>
          </w:p>
        </w:tc>
      </w:tr>
      <w:tr w:rsidR="00F92B55" w14:paraId="5A27050E"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4B3C0F62" w14:textId="77777777" w:rsidR="00F92B55" w:rsidRDefault="00081F1C">
            <w:pPr>
              <w:spacing w:after="0" w:line="259" w:lineRule="auto"/>
              <w:ind w:left="0" w:firstLine="0"/>
              <w:jc w:val="left"/>
            </w:pPr>
            <w:r>
              <w:t xml:space="preserve">NA Child Protection </w:t>
            </w:r>
          </w:p>
        </w:tc>
      </w:tr>
      <w:tr w:rsidR="00F92B55" w14:paraId="7DC0C005"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25F9DDDA" w14:textId="77777777" w:rsidR="00F92B55" w:rsidRDefault="00081F1C">
            <w:pPr>
              <w:spacing w:after="0" w:line="259" w:lineRule="auto"/>
              <w:ind w:left="0" w:firstLine="0"/>
              <w:jc w:val="left"/>
            </w:pPr>
            <w:r>
              <w:t xml:space="preserve">NA Housing  </w:t>
            </w:r>
          </w:p>
        </w:tc>
      </w:tr>
      <w:tr w:rsidR="00F92B55" w14:paraId="429A9D76"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66937920" w14:textId="77777777" w:rsidR="00F92B55" w:rsidRDefault="00081F1C">
            <w:pPr>
              <w:spacing w:after="0" w:line="259" w:lineRule="auto"/>
              <w:ind w:left="0" w:firstLine="0"/>
              <w:jc w:val="left"/>
            </w:pPr>
            <w:r>
              <w:t xml:space="preserve">NA Welfare Reform  </w:t>
            </w:r>
          </w:p>
        </w:tc>
      </w:tr>
      <w:tr w:rsidR="00F92B55" w14:paraId="120B3AF0"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409793BB" w14:textId="77777777" w:rsidR="00F92B55" w:rsidRDefault="00081F1C">
            <w:pPr>
              <w:spacing w:after="0" w:line="259" w:lineRule="auto"/>
              <w:ind w:left="0" w:firstLine="0"/>
              <w:jc w:val="left"/>
            </w:pPr>
            <w:r>
              <w:t xml:space="preserve">ASSIST </w:t>
            </w:r>
          </w:p>
        </w:tc>
      </w:tr>
      <w:tr w:rsidR="00F92B55" w14:paraId="7033F19B"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53E0C009" w14:textId="77777777" w:rsidR="00F92B55" w:rsidRDefault="00081F1C">
            <w:pPr>
              <w:spacing w:after="0" w:line="259" w:lineRule="auto"/>
              <w:ind w:left="0" w:firstLine="0"/>
              <w:jc w:val="left"/>
            </w:pPr>
            <w:r>
              <w:t xml:space="preserve">Public Health </w:t>
            </w:r>
          </w:p>
        </w:tc>
      </w:tr>
      <w:tr w:rsidR="00F92B55" w14:paraId="197DD433"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13C8CD6F" w14:textId="77777777" w:rsidR="00F92B55" w:rsidRDefault="00081F1C">
            <w:pPr>
              <w:spacing w:after="0" w:line="259" w:lineRule="auto"/>
              <w:ind w:left="0" w:firstLine="0"/>
              <w:jc w:val="left"/>
            </w:pPr>
            <w:r>
              <w:t xml:space="preserve">Women’s Aid </w:t>
            </w:r>
          </w:p>
        </w:tc>
      </w:tr>
      <w:tr w:rsidR="00F92B55" w14:paraId="0B0A0CF6" w14:textId="77777777">
        <w:trPr>
          <w:trHeight w:val="288"/>
        </w:trPr>
        <w:tc>
          <w:tcPr>
            <w:tcW w:w="8642" w:type="dxa"/>
            <w:tcBorders>
              <w:top w:val="single" w:sz="4" w:space="0" w:color="000000"/>
              <w:left w:val="single" w:sz="4" w:space="0" w:color="000000"/>
              <w:bottom w:val="single" w:sz="4" w:space="0" w:color="000000"/>
              <w:right w:val="single" w:sz="4" w:space="0" w:color="000000"/>
            </w:tcBorders>
          </w:tcPr>
          <w:p w14:paraId="0B4256D6" w14:textId="77777777" w:rsidR="00F92B55" w:rsidRDefault="00081F1C">
            <w:pPr>
              <w:spacing w:after="0" w:line="259" w:lineRule="auto"/>
              <w:ind w:left="0" w:firstLine="0"/>
              <w:jc w:val="left"/>
            </w:pPr>
            <w:r>
              <w:t xml:space="preserve">HSCP C&amp;F  </w:t>
            </w:r>
          </w:p>
        </w:tc>
      </w:tr>
      <w:tr w:rsidR="00F92B55" w14:paraId="639B31A0"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1B9FFC35" w14:textId="77777777" w:rsidR="00F92B55" w:rsidRDefault="00081F1C">
            <w:pPr>
              <w:spacing w:after="0" w:line="259" w:lineRule="auto"/>
              <w:ind w:left="0" w:firstLine="0"/>
              <w:jc w:val="left"/>
            </w:pPr>
            <w:r>
              <w:t xml:space="preserve">STAR Centre </w:t>
            </w:r>
          </w:p>
        </w:tc>
      </w:tr>
      <w:tr w:rsidR="00F92B55" w14:paraId="4B79D563"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53CBC60D" w14:textId="77777777" w:rsidR="00F92B55" w:rsidRDefault="00081F1C">
            <w:pPr>
              <w:spacing w:after="0" w:line="259" w:lineRule="auto"/>
              <w:ind w:left="0" w:firstLine="0"/>
              <w:jc w:val="left"/>
            </w:pPr>
            <w:r>
              <w:t xml:space="preserve">NA Connected Communities </w:t>
            </w:r>
          </w:p>
        </w:tc>
      </w:tr>
      <w:tr w:rsidR="00F92B55" w14:paraId="2F0C6CCC"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1BFC09B0" w14:textId="77777777" w:rsidR="00F92B55" w:rsidRDefault="00081F1C">
            <w:pPr>
              <w:spacing w:after="0" w:line="259" w:lineRule="auto"/>
              <w:ind w:left="0" w:firstLine="0"/>
              <w:jc w:val="left"/>
            </w:pPr>
            <w:r>
              <w:t xml:space="preserve">NA Alcohol &amp; Drugs Partnership  </w:t>
            </w:r>
          </w:p>
        </w:tc>
      </w:tr>
      <w:tr w:rsidR="00F92B55" w14:paraId="17B2BC5D"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0AB68902" w14:textId="77777777" w:rsidR="00F92B55" w:rsidRDefault="00081F1C">
            <w:pPr>
              <w:spacing w:after="0" w:line="259" w:lineRule="auto"/>
              <w:ind w:left="0" w:firstLine="0"/>
              <w:jc w:val="left"/>
            </w:pPr>
            <w:r>
              <w:t xml:space="preserve">Home Security Project Officer </w:t>
            </w:r>
          </w:p>
        </w:tc>
      </w:tr>
      <w:tr w:rsidR="00F92B55" w14:paraId="3E1FF79B"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3EF0FCD3" w14:textId="77777777" w:rsidR="00F92B55" w:rsidRDefault="00081F1C">
            <w:pPr>
              <w:spacing w:after="0" w:line="259" w:lineRule="auto"/>
              <w:ind w:left="0" w:firstLine="0"/>
              <w:jc w:val="left"/>
            </w:pPr>
            <w:r>
              <w:t xml:space="preserve">Community Safety Services  </w:t>
            </w:r>
          </w:p>
        </w:tc>
      </w:tr>
      <w:tr w:rsidR="00F92B55" w14:paraId="78FBF49B" w14:textId="77777777">
        <w:trPr>
          <w:trHeight w:val="288"/>
        </w:trPr>
        <w:tc>
          <w:tcPr>
            <w:tcW w:w="8642" w:type="dxa"/>
            <w:tcBorders>
              <w:top w:val="single" w:sz="4" w:space="0" w:color="000000"/>
              <w:left w:val="single" w:sz="4" w:space="0" w:color="000000"/>
              <w:bottom w:val="single" w:sz="4" w:space="0" w:color="000000"/>
              <w:right w:val="single" w:sz="4" w:space="0" w:color="000000"/>
            </w:tcBorders>
          </w:tcPr>
          <w:p w14:paraId="6B6ABDB0" w14:textId="77777777" w:rsidR="00F92B55" w:rsidRDefault="00081F1C">
            <w:pPr>
              <w:spacing w:after="0" w:line="259" w:lineRule="auto"/>
              <w:ind w:left="0" w:firstLine="0"/>
              <w:jc w:val="left"/>
            </w:pPr>
            <w:r>
              <w:t xml:space="preserve">Choose Life  </w:t>
            </w:r>
          </w:p>
        </w:tc>
      </w:tr>
      <w:tr w:rsidR="00F92B55" w14:paraId="64F8D80B"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74E3DF42" w14:textId="77777777" w:rsidR="00F92B55" w:rsidRDefault="00081F1C">
            <w:pPr>
              <w:spacing w:after="0" w:line="259" w:lineRule="auto"/>
              <w:ind w:left="0" w:firstLine="0"/>
              <w:jc w:val="left"/>
            </w:pPr>
            <w:r>
              <w:t xml:space="preserve">Community Justice Ayrshire </w:t>
            </w:r>
          </w:p>
        </w:tc>
      </w:tr>
      <w:tr w:rsidR="00F92B55" w14:paraId="3DB457F3"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3984FB95" w14:textId="77777777" w:rsidR="00F92B55" w:rsidRDefault="00081F1C">
            <w:pPr>
              <w:spacing w:after="0" w:line="259" w:lineRule="auto"/>
              <w:ind w:left="0" w:firstLine="0"/>
              <w:jc w:val="left"/>
            </w:pPr>
            <w:r>
              <w:t xml:space="preserve">Victim Support </w:t>
            </w:r>
          </w:p>
        </w:tc>
      </w:tr>
      <w:tr w:rsidR="00F92B55" w14:paraId="49AEECEB"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4A9ED06E" w14:textId="77777777" w:rsidR="00F92B55" w:rsidRDefault="00081F1C">
            <w:pPr>
              <w:spacing w:after="0" w:line="259" w:lineRule="auto"/>
              <w:ind w:left="0" w:firstLine="0"/>
              <w:jc w:val="left"/>
            </w:pPr>
            <w:r>
              <w:t xml:space="preserve">Service Access, H&amp;SCP </w:t>
            </w:r>
          </w:p>
        </w:tc>
      </w:tr>
      <w:tr w:rsidR="00F92B55" w14:paraId="30E39F72"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56C3CEDC" w14:textId="77777777" w:rsidR="00F92B55" w:rsidRDefault="00081F1C">
            <w:pPr>
              <w:spacing w:after="0" w:line="259" w:lineRule="auto"/>
              <w:ind w:left="0" w:firstLine="0"/>
              <w:jc w:val="left"/>
            </w:pPr>
            <w:r>
              <w:t xml:space="preserve">Education </w:t>
            </w:r>
          </w:p>
        </w:tc>
      </w:tr>
      <w:tr w:rsidR="00F92B55" w14:paraId="7463521D" w14:textId="77777777">
        <w:trPr>
          <w:trHeight w:val="286"/>
        </w:trPr>
        <w:tc>
          <w:tcPr>
            <w:tcW w:w="8642" w:type="dxa"/>
            <w:tcBorders>
              <w:top w:val="single" w:sz="4" w:space="0" w:color="000000"/>
              <w:left w:val="single" w:sz="4" w:space="0" w:color="000000"/>
              <w:bottom w:val="single" w:sz="4" w:space="0" w:color="000000"/>
              <w:right w:val="single" w:sz="4" w:space="0" w:color="000000"/>
            </w:tcBorders>
          </w:tcPr>
          <w:p w14:paraId="2768A3DE" w14:textId="77777777" w:rsidR="00F92B55" w:rsidRDefault="00081F1C">
            <w:pPr>
              <w:spacing w:after="0" w:line="259" w:lineRule="auto"/>
              <w:ind w:left="0" w:firstLine="0"/>
              <w:jc w:val="left"/>
            </w:pPr>
            <w:r>
              <w:t xml:space="preserve">NA Human Resources </w:t>
            </w:r>
          </w:p>
        </w:tc>
      </w:tr>
      <w:tr w:rsidR="00F92B55" w14:paraId="64D25803" w14:textId="77777777">
        <w:trPr>
          <w:trHeight w:val="288"/>
        </w:trPr>
        <w:tc>
          <w:tcPr>
            <w:tcW w:w="8642" w:type="dxa"/>
            <w:tcBorders>
              <w:top w:val="single" w:sz="4" w:space="0" w:color="000000"/>
              <w:left w:val="single" w:sz="4" w:space="0" w:color="000000"/>
              <w:bottom w:val="single" w:sz="4" w:space="0" w:color="000000"/>
              <w:right w:val="single" w:sz="4" w:space="0" w:color="000000"/>
            </w:tcBorders>
          </w:tcPr>
          <w:p w14:paraId="215213E7" w14:textId="77777777" w:rsidR="00F92B55" w:rsidRDefault="00081F1C">
            <w:pPr>
              <w:spacing w:after="0" w:line="259" w:lineRule="auto"/>
              <w:ind w:left="0" w:firstLine="0"/>
              <w:jc w:val="left"/>
            </w:pPr>
            <w:r>
              <w:t xml:space="preserve">Social Services </w:t>
            </w:r>
          </w:p>
        </w:tc>
      </w:tr>
    </w:tbl>
    <w:p w14:paraId="748755C9" w14:textId="77777777" w:rsidR="00F92B55" w:rsidRDefault="00081F1C">
      <w:pPr>
        <w:spacing w:after="396" w:line="259" w:lineRule="auto"/>
        <w:ind w:left="0" w:firstLine="0"/>
        <w:jc w:val="left"/>
      </w:pPr>
      <w:r>
        <w:rPr>
          <w:b/>
          <w:color w:val="7030A0"/>
        </w:rPr>
        <w:t xml:space="preserve"> </w:t>
      </w:r>
    </w:p>
    <w:p w14:paraId="31627337" w14:textId="4664A547" w:rsidR="00F92B55" w:rsidRDefault="00081F1C" w:rsidP="00356B6E">
      <w:pPr>
        <w:spacing w:after="396" w:line="259" w:lineRule="auto"/>
        <w:ind w:left="0" w:firstLine="0"/>
        <w:jc w:val="left"/>
      </w:pPr>
      <w:r>
        <w:rPr>
          <w:b/>
          <w:color w:val="7030A0"/>
        </w:rPr>
        <w:t xml:space="preserve"> </w:t>
      </w:r>
    </w:p>
    <w:sectPr w:rsidR="00F92B55">
      <w:headerReference w:type="even" r:id="rId14"/>
      <w:headerReference w:type="default" r:id="rId15"/>
      <w:footerReference w:type="even" r:id="rId16"/>
      <w:footerReference w:type="default" r:id="rId17"/>
      <w:headerReference w:type="first" r:id="rId18"/>
      <w:footerReference w:type="first" r:id="rId19"/>
      <w:pgSz w:w="11906" w:h="16838"/>
      <w:pgMar w:top="766" w:right="1435" w:bottom="767" w:left="1440" w:header="347" w:footer="32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4849" w14:textId="77777777" w:rsidR="00C314B0" w:rsidRDefault="00C314B0">
      <w:pPr>
        <w:spacing w:after="0" w:line="240" w:lineRule="auto"/>
      </w:pPr>
      <w:r>
        <w:separator/>
      </w:r>
    </w:p>
  </w:endnote>
  <w:endnote w:type="continuationSeparator" w:id="0">
    <w:p w14:paraId="5500A97E" w14:textId="77777777" w:rsidR="00C314B0" w:rsidRDefault="00C3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4F26" w14:textId="77777777" w:rsidR="00F92B55" w:rsidRDefault="00081F1C">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E4760BD" w14:textId="77777777" w:rsidR="00F92B55" w:rsidRDefault="00081F1C">
    <w:pPr>
      <w:spacing w:after="100" w:line="259" w:lineRule="auto"/>
      <w:ind w:left="0" w:firstLine="0"/>
      <w:jc w:val="left"/>
    </w:pPr>
    <w:r>
      <w:rPr>
        <w:rFonts w:ascii="Calibri" w:eastAsia="Calibri" w:hAnsi="Calibri" w:cs="Calibri"/>
        <w:sz w:val="22"/>
      </w:rPr>
      <w:t xml:space="preserve"> </w:t>
    </w:r>
  </w:p>
  <w:p w14:paraId="3356F6C5" w14:textId="77777777" w:rsidR="00F92B55" w:rsidRDefault="00081F1C">
    <w:pPr>
      <w:spacing w:after="0" w:line="259" w:lineRule="auto"/>
      <w:ind w:left="-1034" w:firstLine="0"/>
      <w:jc w:val="left"/>
    </w:pPr>
    <w:r>
      <w:rPr>
        <w:rFonts w:ascii="Calibri" w:eastAsia="Calibri" w:hAnsi="Calibri" w:cs="Calibri"/>
        <w:color w:val="A80000"/>
        <w:sz w:val="20"/>
      </w:rPr>
      <w:t xml:space="preserve">Official Information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915" w14:textId="77777777" w:rsidR="00F92B55" w:rsidRDefault="00081F1C">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9B19F4C" w14:textId="77777777" w:rsidR="00F92B55" w:rsidRDefault="00081F1C">
    <w:pPr>
      <w:spacing w:after="100" w:line="259" w:lineRule="auto"/>
      <w:ind w:left="0" w:firstLine="0"/>
      <w:jc w:val="left"/>
    </w:pPr>
    <w:r>
      <w:rPr>
        <w:rFonts w:ascii="Calibri" w:eastAsia="Calibri" w:hAnsi="Calibri" w:cs="Calibri"/>
        <w:sz w:val="22"/>
      </w:rPr>
      <w:t xml:space="preserve"> </w:t>
    </w:r>
  </w:p>
  <w:p w14:paraId="5E390A30" w14:textId="77777777" w:rsidR="00F92B55" w:rsidRDefault="00081F1C">
    <w:pPr>
      <w:spacing w:after="0" w:line="259" w:lineRule="auto"/>
      <w:ind w:left="-1034" w:firstLine="0"/>
      <w:jc w:val="left"/>
    </w:pPr>
    <w:r>
      <w:rPr>
        <w:rFonts w:ascii="Calibri" w:eastAsia="Calibri" w:hAnsi="Calibri" w:cs="Calibri"/>
        <w:color w:val="A80000"/>
        <w:sz w:val="20"/>
      </w:rPr>
      <w:t xml:space="preserve">Official Information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8D0D" w14:textId="77777777" w:rsidR="00F92B55" w:rsidRDefault="00081F1C">
    <w:pPr>
      <w:spacing w:after="100" w:line="259" w:lineRule="auto"/>
      <w:ind w:left="0" w:firstLine="0"/>
      <w:jc w:val="left"/>
    </w:pPr>
    <w:r>
      <w:rPr>
        <w:rFonts w:ascii="Calibri" w:eastAsia="Calibri" w:hAnsi="Calibri" w:cs="Calibri"/>
        <w:sz w:val="22"/>
      </w:rPr>
      <w:t xml:space="preserve"> </w:t>
    </w:r>
  </w:p>
  <w:p w14:paraId="6C96EB56" w14:textId="77777777" w:rsidR="00F92B55" w:rsidRDefault="00081F1C">
    <w:pPr>
      <w:spacing w:after="0" w:line="259" w:lineRule="auto"/>
      <w:ind w:left="-1034" w:firstLine="0"/>
      <w:jc w:val="left"/>
    </w:pPr>
    <w:r>
      <w:rPr>
        <w:rFonts w:ascii="Calibri" w:eastAsia="Calibri" w:hAnsi="Calibri" w:cs="Calibri"/>
        <w:color w:val="A80000"/>
        <w:sz w:val="20"/>
      </w:rPr>
      <w:t xml:space="preserve">Official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517B" w14:textId="77777777" w:rsidR="00C314B0" w:rsidRDefault="00C314B0">
      <w:pPr>
        <w:spacing w:after="0" w:line="240" w:lineRule="auto"/>
      </w:pPr>
      <w:r>
        <w:separator/>
      </w:r>
    </w:p>
  </w:footnote>
  <w:footnote w:type="continuationSeparator" w:id="0">
    <w:p w14:paraId="4EB7480E" w14:textId="77777777" w:rsidR="00C314B0" w:rsidRDefault="00C3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D07C" w14:textId="77777777" w:rsidR="00F92B55" w:rsidRDefault="00081F1C">
    <w:pPr>
      <w:spacing w:after="157" w:line="259" w:lineRule="auto"/>
      <w:ind w:left="-1034" w:firstLine="0"/>
      <w:jc w:val="left"/>
    </w:pPr>
    <w:r>
      <w:rPr>
        <w:rFonts w:ascii="Calibri" w:eastAsia="Calibri" w:hAnsi="Calibri" w:cs="Calibri"/>
        <w:color w:val="A80000"/>
        <w:sz w:val="20"/>
      </w:rPr>
      <w:t xml:space="preserve">Official Information </w:t>
    </w:r>
  </w:p>
  <w:p w14:paraId="03B11093" w14:textId="77777777" w:rsidR="00F92B55" w:rsidRDefault="00081F1C">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E24D" w14:textId="77777777" w:rsidR="00F92B55" w:rsidRDefault="00081F1C">
    <w:pPr>
      <w:spacing w:after="157" w:line="259" w:lineRule="auto"/>
      <w:ind w:left="-1034" w:firstLine="0"/>
      <w:jc w:val="left"/>
    </w:pPr>
    <w:r>
      <w:rPr>
        <w:rFonts w:ascii="Calibri" w:eastAsia="Calibri" w:hAnsi="Calibri" w:cs="Calibri"/>
        <w:color w:val="A80000"/>
        <w:sz w:val="20"/>
      </w:rPr>
      <w:t xml:space="preserve">Official Information </w:t>
    </w:r>
  </w:p>
  <w:p w14:paraId="73367DE2" w14:textId="77777777" w:rsidR="00F92B55" w:rsidRDefault="00081F1C">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93F3" w14:textId="77777777" w:rsidR="00F92B55" w:rsidRDefault="00081F1C">
    <w:pPr>
      <w:spacing w:after="157" w:line="259" w:lineRule="auto"/>
      <w:ind w:left="-1034" w:firstLine="0"/>
      <w:jc w:val="left"/>
    </w:pPr>
    <w:r>
      <w:rPr>
        <w:rFonts w:ascii="Calibri" w:eastAsia="Calibri" w:hAnsi="Calibri" w:cs="Calibri"/>
        <w:color w:val="A80000"/>
        <w:sz w:val="20"/>
      </w:rPr>
      <w:t xml:space="preserve">Official Information </w:t>
    </w:r>
  </w:p>
  <w:p w14:paraId="252DD035" w14:textId="77777777" w:rsidR="00F92B55" w:rsidRDefault="00081F1C">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61747"/>
    <w:multiLevelType w:val="hybridMultilevel"/>
    <w:tmpl w:val="4B462CFC"/>
    <w:lvl w:ilvl="0" w:tplc="3A287A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BA49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29E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72B2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617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042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EAF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0CD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E6F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7B38DA"/>
    <w:multiLevelType w:val="hybridMultilevel"/>
    <w:tmpl w:val="96AE1E2E"/>
    <w:lvl w:ilvl="0" w:tplc="156E9A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30BC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058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EE9A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2CE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166A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EC0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608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1009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0D5A37"/>
    <w:multiLevelType w:val="hybridMultilevel"/>
    <w:tmpl w:val="977259E6"/>
    <w:lvl w:ilvl="0" w:tplc="3C142D78">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6CE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1487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6CBA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8C8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343D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8269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69D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CE7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960337"/>
    <w:multiLevelType w:val="hybridMultilevel"/>
    <w:tmpl w:val="1DAA87AC"/>
    <w:lvl w:ilvl="0" w:tplc="66DA26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98B1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AAB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88E8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C2B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9E06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88C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41B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F8EE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6457FA"/>
    <w:multiLevelType w:val="hybridMultilevel"/>
    <w:tmpl w:val="B5FC337E"/>
    <w:lvl w:ilvl="0" w:tplc="D402F7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C30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6D5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D8D9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E09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092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8487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20C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0417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6F40A2"/>
    <w:multiLevelType w:val="hybridMultilevel"/>
    <w:tmpl w:val="6F86ECBA"/>
    <w:lvl w:ilvl="0" w:tplc="7CAA0D6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393383923">
    <w:abstractNumId w:val="0"/>
  </w:num>
  <w:num w:numId="2" w16cid:durableId="1303075880">
    <w:abstractNumId w:val="1"/>
  </w:num>
  <w:num w:numId="3" w16cid:durableId="1163353968">
    <w:abstractNumId w:val="2"/>
  </w:num>
  <w:num w:numId="4" w16cid:durableId="940457388">
    <w:abstractNumId w:val="3"/>
  </w:num>
  <w:num w:numId="5" w16cid:durableId="1231191790">
    <w:abstractNumId w:val="4"/>
  </w:num>
  <w:num w:numId="6" w16cid:durableId="764763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55"/>
    <w:rsid w:val="00081F1C"/>
    <w:rsid w:val="00356B6E"/>
    <w:rsid w:val="00481BA3"/>
    <w:rsid w:val="008F5B3B"/>
    <w:rsid w:val="00975029"/>
    <w:rsid w:val="00C314B0"/>
    <w:rsid w:val="00CF7303"/>
    <w:rsid w:val="00E10825"/>
    <w:rsid w:val="00F9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5180"/>
  <w15:docId w15:val="{EF9CD217-C404-4960-8F1C-DF1B4D4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line="260"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 w:line="26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uiPriority w:val="39"/>
    <w:pPr>
      <w:spacing w:after="99"/>
      <w:ind w:left="25" w:right="26" w:hanging="10"/>
    </w:pPr>
    <w:rPr>
      <w:rFonts w:ascii="Arial" w:eastAsia="Arial" w:hAnsi="Arial" w:cs="Arial"/>
      <w:color w:val="000000"/>
      <w:sz w:val="28"/>
    </w:rPr>
  </w:style>
  <w:style w:type="paragraph" w:styleId="TOC2">
    <w:name w:val="toc 2"/>
    <w:hidden/>
    <w:uiPriority w:val="39"/>
    <w:pPr>
      <w:spacing w:after="98"/>
      <w:ind w:left="566" w:right="29"/>
      <w:jc w:val="right"/>
    </w:pPr>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6B6E"/>
    <w:rPr>
      <w:color w:val="0563C1" w:themeColor="hyperlink"/>
      <w:u w:val="single"/>
    </w:rPr>
  </w:style>
  <w:style w:type="table" w:styleId="TableGrid0">
    <w:name w:val="Table Grid"/>
    <w:basedOn w:val="TableNormal"/>
    <w:uiPriority w:val="39"/>
    <w:rsid w:val="0035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356B6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cot/publications/equally-saf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f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ADEC3-C5FB-45B2-9064-2F13D48F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Domestic Abuse Policy</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Policy</dc:title>
  <dc:subject/>
  <dc:creator>Jennifer Law</dc:creator>
  <cp:keywords>Domestic Abuse Policy</cp:keywords>
  <cp:lastModifiedBy>Stephen Connor ( Team Manager (Housing, Customer Engagement &amp; Support) / Housing Operations )</cp:lastModifiedBy>
  <cp:revision>2</cp:revision>
  <dcterms:created xsi:type="dcterms:W3CDTF">2025-04-07T14:32:00Z</dcterms:created>
  <dcterms:modified xsi:type="dcterms:W3CDTF">2025-04-07T14:32:00Z</dcterms:modified>
</cp:coreProperties>
</file>